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val="0"/>
        <w:spacing w:line="276" w:lineRule="auto"/>
        <w:jc w:val="center"/>
        <w:rPr>
          <w:sz w:val="24"/>
          <w:szCs w:val="24"/>
        </w:rPr>
      </w:pPr>
    </w:p>
    <w:p>
      <w:pPr>
        <w:jc w:val="center"/>
        <w:rPr>
          <w:b/>
          <w:bCs/>
          <w:sz w:val="24"/>
          <w:szCs w:val="24"/>
        </w:rPr>
      </w:pPr>
      <w:r>
        <w:rPr>
          <w:b/>
          <w:sz w:val="24"/>
          <w:szCs w:val="24"/>
        </w:rPr>
        <w:t>PREGÃO ELETRÔNICO</w:t>
      </w:r>
    </w:p>
    <w:p>
      <w:pPr>
        <w:jc w:val="center"/>
        <w:rPr>
          <w:iCs/>
          <w:sz w:val="24"/>
          <w:szCs w:val="24"/>
        </w:rPr>
      </w:pPr>
      <w:r>
        <w:rPr>
          <w:iCs/>
          <w:sz w:val="24"/>
          <w:szCs w:val="24"/>
        </w:rPr>
        <w:t>Nº 2025.01.21.01-PE</w:t>
      </w:r>
    </w:p>
    <w:p>
      <w:pPr>
        <w:spacing w:line="259" w:lineRule="auto"/>
        <w:rPr>
          <w:b/>
          <w:bCs/>
          <w:sz w:val="24"/>
          <w:szCs w:val="24"/>
        </w:rPr>
      </w:pPr>
    </w:p>
    <w:p>
      <w:pPr>
        <w:spacing w:line="259" w:lineRule="auto"/>
        <w:rPr>
          <w:b/>
          <w:bCs/>
          <w:sz w:val="24"/>
          <w:szCs w:val="24"/>
        </w:rPr>
      </w:pPr>
      <w:r>
        <w:rPr>
          <w:b/>
          <w:bCs/>
          <w:sz w:val="24"/>
          <w:szCs w:val="24"/>
        </w:rPr>
        <w:t xml:space="preserve">CONTRATANTE: </w:t>
      </w:r>
    </w:p>
    <w:p>
      <w:pPr>
        <w:spacing w:line="259" w:lineRule="auto"/>
        <w:jc w:val="both"/>
        <w:rPr>
          <w:b/>
          <w:bCs/>
          <w:sz w:val="24"/>
          <w:szCs w:val="24"/>
        </w:rPr>
      </w:pPr>
      <w:r>
        <w:rPr>
          <w:bCs/>
          <w:sz w:val="24"/>
          <w:szCs w:val="24"/>
        </w:rPr>
        <w:t>PREFEITURA MUNICIPAL DE MIRAÍMA-CE, Através das diversas Secretarias.</w:t>
      </w:r>
    </w:p>
    <w:p>
      <w:pPr>
        <w:rPr>
          <w:b/>
          <w:sz w:val="24"/>
          <w:szCs w:val="24"/>
        </w:rPr>
      </w:pPr>
    </w:p>
    <w:p>
      <w:pPr>
        <w:rPr>
          <w:b/>
          <w:sz w:val="24"/>
          <w:szCs w:val="24"/>
        </w:rPr>
      </w:pPr>
      <w:r>
        <w:rPr>
          <w:b/>
          <w:sz w:val="24"/>
          <w:szCs w:val="24"/>
        </w:rPr>
        <w:t>UASG:</w:t>
      </w:r>
    </w:p>
    <w:p>
      <w:pPr>
        <w:rPr>
          <w:sz w:val="24"/>
          <w:szCs w:val="24"/>
        </w:rPr>
      </w:pPr>
      <w:r>
        <w:rPr>
          <w:sz w:val="24"/>
          <w:szCs w:val="24"/>
        </w:rPr>
        <w:t>981263</w:t>
      </w:r>
    </w:p>
    <w:p>
      <w:pPr>
        <w:rPr>
          <w:b/>
          <w:sz w:val="24"/>
          <w:szCs w:val="24"/>
        </w:rPr>
      </w:pPr>
      <w:r>
        <w:rPr>
          <w:b/>
          <w:sz w:val="24"/>
          <w:szCs w:val="24"/>
        </w:rPr>
        <w:t>COMPRAS.GOV:</w:t>
      </w:r>
    </w:p>
    <w:p>
      <w:pPr>
        <w:rPr>
          <w:sz w:val="24"/>
          <w:szCs w:val="24"/>
        </w:rPr>
      </w:pPr>
      <w:r>
        <w:rPr>
          <w:sz w:val="24"/>
          <w:szCs w:val="24"/>
        </w:rPr>
        <w:t>90002/2025</w:t>
      </w:r>
    </w:p>
    <w:p>
      <w:pPr>
        <w:rPr>
          <w:b/>
          <w:bCs/>
          <w:sz w:val="24"/>
          <w:szCs w:val="24"/>
        </w:rPr>
      </w:pPr>
      <w:bookmarkStart w:id="0" w:name="_GoBack"/>
      <w:bookmarkEnd w:id="0"/>
    </w:p>
    <w:p>
      <w:pPr>
        <w:rPr>
          <w:b/>
          <w:bCs/>
          <w:sz w:val="24"/>
          <w:szCs w:val="24"/>
        </w:rPr>
      </w:pPr>
      <w:r>
        <w:rPr>
          <w:b/>
          <w:bCs/>
          <w:sz w:val="24"/>
          <w:szCs w:val="24"/>
        </w:rPr>
        <w:t>OBJETO:</w:t>
      </w:r>
    </w:p>
    <w:p>
      <w:pPr>
        <w:jc w:val="both"/>
        <w:rPr>
          <w:sz w:val="24"/>
          <w:szCs w:val="24"/>
        </w:rPr>
      </w:pPr>
      <w:r>
        <w:rPr>
          <w:sz w:val="24"/>
          <w:szCs w:val="24"/>
        </w:rPr>
        <w:t>CONTRATAÇÃO DE EMPRESA ESPECIALIZADA NA PRESTAÇÃO DE SERVIÇOS DE ASSESSORIA ADMINISTRATIVA, NA ELABORAÇÃO DE PROJETOS PARA CAPTAÇÃO DE RECURSOS E PRESTAÇÃO DE CONTAS DE CONVÊNIOS E PROGRAMAS FIRMADOS COM O GOVERNO ESTADUAL E FEDERAL, JUNTO AS DIVERSAS SECRETARIAS DO MUNICÍPIO DE MIRAÍMA/CE.</w:t>
      </w:r>
    </w:p>
    <w:p>
      <w:pPr>
        <w:rPr>
          <w:sz w:val="24"/>
          <w:szCs w:val="24"/>
        </w:rPr>
      </w:pPr>
    </w:p>
    <w:p>
      <w:pPr>
        <w:rPr>
          <w:b/>
          <w:bCs/>
          <w:sz w:val="24"/>
          <w:szCs w:val="24"/>
        </w:rPr>
      </w:pPr>
      <w:r>
        <w:rPr>
          <w:b/>
          <w:bCs/>
          <w:sz w:val="24"/>
          <w:szCs w:val="24"/>
        </w:rPr>
        <w:t>VALOR TOTAL DA CONTRATAÇÃO:</w:t>
      </w:r>
    </w:p>
    <w:p>
      <w:pPr>
        <w:jc w:val="both"/>
        <w:rPr>
          <w:b/>
          <w:bCs/>
          <w:sz w:val="24"/>
          <w:szCs w:val="24"/>
        </w:rPr>
      </w:pPr>
      <w:r>
        <w:rPr>
          <w:bCs/>
          <w:sz w:val="24"/>
          <w:szCs w:val="24"/>
        </w:rPr>
        <w:t>R$ 231.200,16 (Duzentos e Trinta e Um Mil, Duzentos Reais e Dezesseis Centavos).</w:t>
      </w:r>
    </w:p>
    <w:p>
      <w:pPr>
        <w:rPr>
          <w:sz w:val="24"/>
          <w:szCs w:val="24"/>
        </w:rPr>
      </w:pPr>
    </w:p>
    <w:p>
      <w:pPr>
        <w:rPr>
          <w:b/>
          <w:bCs/>
          <w:sz w:val="24"/>
          <w:szCs w:val="24"/>
        </w:rPr>
      </w:pPr>
      <w:r>
        <w:rPr>
          <w:b/>
          <w:bCs/>
          <w:sz w:val="24"/>
          <w:szCs w:val="24"/>
        </w:rPr>
        <w:t>DATA DA SESSÃO PÚBLICA:</w:t>
      </w:r>
    </w:p>
    <w:p>
      <w:pPr>
        <w:rPr>
          <w:bCs/>
          <w:sz w:val="24"/>
          <w:szCs w:val="24"/>
        </w:rPr>
      </w:pPr>
      <w:r>
        <w:rPr>
          <w:sz w:val="24"/>
          <w:szCs w:val="24"/>
        </w:rPr>
        <w:t xml:space="preserve">Dia </w:t>
      </w:r>
      <w:r>
        <w:rPr>
          <w:bCs/>
          <w:sz w:val="24"/>
          <w:szCs w:val="24"/>
        </w:rPr>
        <w:t xml:space="preserve">14/02/2025 </w:t>
      </w:r>
      <w:r>
        <w:rPr>
          <w:sz w:val="24"/>
          <w:szCs w:val="24"/>
        </w:rPr>
        <w:t>às 09h:00min</w:t>
      </w:r>
      <w:r>
        <w:rPr>
          <w:bCs/>
          <w:sz w:val="24"/>
          <w:szCs w:val="24"/>
        </w:rPr>
        <w:t xml:space="preserve"> (horário de Brasília)</w:t>
      </w:r>
    </w:p>
    <w:p>
      <w:pPr>
        <w:jc w:val="both"/>
        <w:rPr>
          <w:b/>
          <w:bCs/>
          <w:caps/>
          <w:sz w:val="24"/>
          <w:szCs w:val="24"/>
        </w:rPr>
      </w:pPr>
    </w:p>
    <w:p>
      <w:pPr>
        <w:jc w:val="both"/>
        <w:rPr>
          <w:caps/>
          <w:sz w:val="24"/>
          <w:szCs w:val="24"/>
        </w:rPr>
      </w:pPr>
      <w:r>
        <w:rPr>
          <w:b/>
          <w:bCs/>
          <w:caps/>
          <w:sz w:val="24"/>
          <w:szCs w:val="24"/>
        </w:rPr>
        <w:t>Critério de Julgamento:</w:t>
      </w:r>
    </w:p>
    <w:p>
      <w:pPr>
        <w:jc w:val="both"/>
        <w:rPr>
          <w:sz w:val="24"/>
          <w:szCs w:val="24"/>
        </w:rPr>
      </w:pPr>
      <w:r>
        <w:rPr>
          <w:sz w:val="24"/>
          <w:szCs w:val="24"/>
        </w:rPr>
        <w:t>Menor Preço Global</w:t>
      </w:r>
    </w:p>
    <w:p>
      <w:pPr>
        <w:jc w:val="both"/>
        <w:rPr>
          <w:sz w:val="24"/>
          <w:szCs w:val="24"/>
        </w:rPr>
      </w:pPr>
    </w:p>
    <w:p>
      <w:pPr>
        <w:jc w:val="both"/>
        <w:rPr>
          <w:caps/>
          <w:sz w:val="24"/>
          <w:szCs w:val="24"/>
        </w:rPr>
      </w:pPr>
      <w:r>
        <w:rPr>
          <w:b/>
          <w:bCs/>
          <w:caps/>
          <w:sz w:val="24"/>
          <w:szCs w:val="24"/>
        </w:rPr>
        <w:t>Modo de disputa:</w:t>
      </w:r>
    </w:p>
    <w:p>
      <w:pPr>
        <w:jc w:val="both"/>
        <w:rPr>
          <w:sz w:val="24"/>
          <w:szCs w:val="24"/>
        </w:rPr>
      </w:pPr>
      <w:r>
        <w:rPr>
          <w:sz w:val="24"/>
          <w:szCs w:val="24"/>
        </w:rPr>
        <w:t>Aberto</w:t>
      </w:r>
    </w:p>
    <w:p>
      <w:pPr>
        <w:rPr>
          <w:b/>
          <w:bCs/>
          <w:sz w:val="24"/>
          <w:szCs w:val="24"/>
        </w:rPr>
      </w:pPr>
    </w:p>
    <w:p>
      <w:pPr>
        <w:rPr>
          <w:b/>
          <w:bCs/>
          <w:sz w:val="24"/>
          <w:szCs w:val="24"/>
        </w:rPr>
      </w:pPr>
      <w:r>
        <w:rPr>
          <w:b/>
          <w:bCs/>
          <w:sz w:val="24"/>
          <w:szCs w:val="24"/>
        </w:rPr>
        <w:t>PREFERÊNCIA ME/EPP/EQUIPARADAS</w:t>
      </w:r>
    </w:p>
    <w:p>
      <w:pPr>
        <w:spacing w:line="276" w:lineRule="auto"/>
        <w:jc w:val="both"/>
        <w:rPr>
          <w:b/>
          <w:bCs/>
          <w:sz w:val="24"/>
          <w:szCs w:val="24"/>
        </w:rPr>
      </w:pPr>
      <w:r>
        <w:rPr>
          <w:bCs/>
          <w:sz w:val="24"/>
          <w:szCs w:val="24"/>
        </w:rPr>
        <w:t>Não</w:t>
      </w:r>
    </w:p>
    <w:p>
      <w:pPr>
        <w:spacing w:line="276" w:lineRule="auto"/>
        <w:jc w:val="center"/>
        <w:rPr>
          <w:b/>
          <w:bCs/>
          <w:sz w:val="24"/>
          <w:szCs w:val="24"/>
        </w:rPr>
        <w:sectPr>
          <w:headerReference w:type="default" r:id="rId8"/>
          <w:footerReference w:type="even" r:id="rId9"/>
          <w:footerReference w:type="default" r:id="rId10"/>
          <w:pgSz w:w="11906" w:h="16838"/>
          <w:pgMar w:top="2354" w:right="1416" w:bottom="1418" w:left="1560" w:header="568" w:footer="339" w:gutter="0"/>
          <w:cols w:space="708"/>
          <w:docGrid w:linePitch="360"/>
        </w:sectPr>
      </w:pPr>
    </w:p>
    <w:p>
      <w:pPr>
        <w:spacing w:line="276" w:lineRule="auto"/>
        <w:jc w:val="center"/>
        <w:rPr>
          <w:b/>
          <w:bCs/>
          <w:sz w:val="24"/>
          <w:szCs w:val="24"/>
        </w:rPr>
      </w:pPr>
    </w:p>
    <w:p>
      <w:pPr>
        <w:spacing w:line="276" w:lineRule="auto"/>
        <w:jc w:val="center"/>
        <w:rPr>
          <w:b/>
          <w:bCs/>
          <w:sz w:val="24"/>
          <w:szCs w:val="24"/>
        </w:rPr>
      </w:pPr>
      <w:r>
        <w:rPr>
          <w:b/>
          <w:bCs/>
          <w:sz w:val="24"/>
          <w:szCs w:val="24"/>
        </w:rPr>
        <w:t>EDITAL</w:t>
      </w:r>
    </w:p>
    <w:p>
      <w:pPr>
        <w:spacing w:line="276" w:lineRule="auto"/>
        <w:jc w:val="center"/>
        <w:rPr>
          <w:b/>
          <w:bCs/>
          <w:sz w:val="24"/>
          <w:szCs w:val="24"/>
        </w:rPr>
      </w:pPr>
    </w:p>
    <w:p>
      <w:pPr>
        <w:spacing w:line="276" w:lineRule="auto"/>
        <w:jc w:val="center"/>
        <w:rPr>
          <w:b/>
          <w:bCs/>
          <w:sz w:val="24"/>
          <w:szCs w:val="24"/>
        </w:rPr>
      </w:pPr>
      <w:r>
        <w:rPr>
          <w:b/>
          <w:sz w:val="24"/>
          <w:szCs w:val="24"/>
        </w:rPr>
        <w:t>PREFEITURA MUNICIPAL DE MIRAÍMA-CE</w:t>
      </w:r>
    </w:p>
    <w:p>
      <w:pPr>
        <w:spacing w:line="276" w:lineRule="auto"/>
        <w:jc w:val="center"/>
        <w:rPr>
          <w:b/>
          <w:color w:val="000000"/>
          <w:sz w:val="24"/>
          <w:szCs w:val="24"/>
        </w:rPr>
      </w:pPr>
      <w:r>
        <w:rPr>
          <w:b/>
          <w:color w:val="000000"/>
          <w:sz w:val="24"/>
          <w:szCs w:val="24"/>
        </w:rPr>
        <w:t>PREGÃO ELETRÔNICO Nº 2025.01.21.01-PE</w:t>
      </w:r>
    </w:p>
    <w:p>
      <w:pPr>
        <w:spacing w:line="276" w:lineRule="auto"/>
        <w:jc w:val="center"/>
        <w:rPr>
          <w:bCs/>
          <w:color w:val="000000"/>
          <w:sz w:val="24"/>
          <w:szCs w:val="24"/>
        </w:rPr>
      </w:pPr>
      <w:r>
        <w:rPr>
          <w:color w:val="000000"/>
          <w:sz w:val="24"/>
          <w:szCs w:val="24"/>
        </w:rPr>
        <w:t>(Processo Administrativo n</w:t>
      </w:r>
      <w:r>
        <w:rPr>
          <w:bCs/>
          <w:color w:val="000000"/>
          <w:sz w:val="24"/>
          <w:szCs w:val="24"/>
        </w:rPr>
        <w:t>° 0025010201)</w:t>
      </w:r>
    </w:p>
    <w:p>
      <w:pPr>
        <w:spacing w:line="276" w:lineRule="auto"/>
        <w:ind w:firstLine="567"/>
        <w:jc w:val="center"/>
        <w:rPr>
          <w:b/>
          <w:color w:val="000000"/>
          <w:sz w:val="24"/>
          <w:szCs w:val="24"/>
        </w:rPr>
      </w:pPr>
    </w:p>
    <w:p>
      <w:pPr>
        <w:pStyle w:val="Nivel2"/>
        <w:numPr>
          <w:ilvl w:val="0"/>
          <w:numId w:val="0"/>
        </w:numPr>
        <w:spacing w:before="0" w:after="0"/>
        <w:rPr>
          <w:rFonts w:ascii="Times New Roman" w:eastAsia="Times New Roman" w:hAnsi="Times New Roman" w:cs="Times New Roman"/>
          <w:sz w:val="24"/>
          <w:szCs w:val="24"/>
        </w:rPr>
      </w:pPr>
      <w:r>
        <w:rPr>
          <w:rFonts w:ascii="Times New Roman" w:hAnsi="Times New Roman" w:cs="Times New Roman"/>
          <w:sz w:val="24"/>
          <w:szCs w:val="24"/>
        </w:rPr>
        <w:t>Torna-se público que a PREFEITURA MUNICIPAL DE MIRAÍMA, por meio do setor de licitações, sediada na Esplanada da Estação, 433, Centro, Miraíma-CE, realizará licitação, na modalidade PREGÃO, na forma ELETRÔNICA,</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nos termos da </w:t>
      </w:r>
      <w:hyperlink r:id="rId11" w:history="1">
        <w:r>
          <w:rPr>
            <w:rStyle w:val="Hyperlink"/>
            <w:rFonts w:ascii="Times New Roman" w:hAnsi="Times New Roman" w:cs="Times New Roman"/>
            <w:sz w:val="24"/>
            <w:szCs w:val="24"/>
          </w:rPr>
          <w:t>Lei nº 14.133, de 1º de abril de 2021</w:t>
        </w:r>
      </w:hyperlink>
      <w:r>
        <w:rPr>
          <w:rFonts w:ascii="Times New Roman" w:hAnsi="Times New Roman" w:cs="Times New Roman"/>
          <w:sz w:val="24"/>
          <w:szCs w:val="24"/>
        </w:rPr>
        <w:t>, e demais legislação aplicável e, ainda, de acordo com as condições estabelecidas neste Edital</w:t>
      </w:r>
      <w:r>
        <w:rPr>
          <w:rFonts w:ascii="Times New Roman" w:eastAsia="Times New Roman" w:hAnsi="Times New Roman" w:cs="Times New Roman"/>
          <w:sz w:val="24"/>
          <w:szCs w:val="24"/>
        </w:rPr>
        <w:t>.</w:t>
      </w:r>
    </w:p>
    <w:p>
      <w:pPr>
        <w:pStyle w:val="Nivel2"/>
        <w:numPr>
          <w:ilvl w:val="0"/>
          <w:numId w:val="0"/>
        </w:numPr>
        <w:spacing w:before="0" w:after="0"/>
        <w:ind w:firstLine="1134"/>
        <w:rPr>
          <w:rFonts w:ascii="Times New Roman" w:eastAsia="Times New Roman" w:hAnsi="Times New Roman" w:cs="Times New Roman"/>
          <w:sz w:val="24"/>
          <w:szCs w:val="24"/>
        </w:rPr>
      </w:pPr>
    </w:p>
    <w:p>
      <w:pPr>
        <w:pStyle w:val="Nivel01"/>
        <w:numPr>
          <w:ilvl w:val="0"/>
          <w:numId w:val="41"/>
        </w:numPr>
        <w:spacing w:before="0"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DO OBJETO</w:t>
      </w:r>
    </w:p>
    <w:p>
      <w:pPr>
        <w:pStyle w:val="Nivel2"/>
        <w:rPr>
          <w:rFonts w:ascii="Times New Roman" w:hAnsi="Times New Roman" w:cs="Times New Roman"/>
          <w:sz w:val="24"/>
          <w:szCs w:val="24"/>
        </w:rPr>
      </w:pPr>
      <w:r>
        <w:rPr>
          <w:rFonts w:ascii="Times New Roman" w:hAnsi="Times New Roman" w:cs="Times New Roman"/>
          <w:sz w:val="24"/>
          <w:szCs w:val="24"/>
        </w:rPr>
        <w:t>O objeto da presente licitação é a Contratação de empresa especializada na prestação de serviços de assessoria administrativa, na elaboração de projetos para captação de recursos e prestação de contas de convênios e programas firmados com o governo estadual e federal, junto as diversas secretarias do Município de Miraíma/CE, conforme condições, quantidades e exigências estabelecidas neste Edital e seus anexos.</w:t>
      </w:r>
    </w:p>
    <w:p>
      <w:pPr>
        <w:pStyle w:val="Nvel2-Red"/>
        <w:numPr>
          <w:ilvl w:val="1"/>
          <w:numId w:val="2"/>
        </w:numPr>
        <w:spacing w:before="0" w:after="0"/>
        <w:ind w:left="0" w:firstLine="0"/>
        <w:rPr>
          <w:rFonts w:ascii="Times New Roman" w:hAnsi="Times New Roman" w:cs="Times New Roman"/>
          <w:i w:val="0"/>
          <w:sz w:val="24"/>
          <w:szCs w:val="24"/>
        </w:rPr>
      </w:pPr>
      <w:r>
        <w:rPr>
          <w:rFonts w:ascii="Times New Roman" w:hAnsi="Times New Roman" w:cs="Times New Roman"/>
          <w:i w:val="0"/>
          <w:color w:val="auto"/>
          <w:sz w:val="24"/>
          <w:szCs w:val="24"/>
        </w:rPr>
        <w:t>A licitação será realizada em grupo único, formados por 04 (quatro) itens, conforme tabela constante no Termo de Referência, devendo o licitante oferecer proposta para todos os itens que o compõem.</w:t>
      </w:r>
    </w:p>
    <w:p>
      <w:pPr>
        <w:pStyle w:val="Nvel2-Red"/>
        <w:numPr>
          <w:ilvl w:val="0"/>
          <w:numId w:val="0"/>
        </w:numPr>
        <w:spacing w:before="0" w:after="0"/>
        <w:rPr>
          <w:rFonts w:ascii="Times New Roman" w:hAnsi="Times New Roman" w:cs="Times New Roman"/>
          <w:i w:val="0"/>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PARTICIPAÇÃO NA LICITAÇÃO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12" w:history="1">
        <w:r>
          <w:rPr>
            <w:rStyle w:val="Hyperlink"/>
            <w:rFonts w:ascii="Times New Roman" w:hAnsi="Times New Roman" w:cs="Times New Roman"/>
            <w:sz w:val="24"/>
            <w:szCs w:val="24"/>
          </w:rPr>
          <w:t>www.gov.br/compras</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não observância do disposto no item anterior poderá ensejar desclassificação no momento da habilitação.</w:t>
      </w:r>
    </w:p>
    <w:p>
      <w:pPr>
        <w:pStyle w:val="Nivel2"/>
        <w:spacing w:before="0" w:after="0"/>
        <w:rPr>
          <w:rFonts w:ascii="Times New Roman" w:eastAsia="Times New Roman" w:hAnsi="Times New Roman" w:cs="Times New Roman"/>
          <w:color w:val="auto"/>
          <w:sz w:val="24"/>
          <w:szCs w:val="24"/>
        </w:rPr>
      </w:pPr>
      <w:r>
        <w:rPr>
          <w:rFonts w:ascii="Times New Roman" w:hAnsi="Times New Roman" w:cs="Times New Roman"/>
          <w:color w:val="auto"/>
          <w:sz w:val="24"/>
          <w:szCs w:val="24"/>
        </w:rPr>
        <w:lastRenderedPageBreak/>
        <w:t xml:space="preserve">Será concedido tratamento favorecido para as microempresas e empresas de pequeno porte e para o microempreendedor individual - MEI, nos limites previstos da </w:t>
      </w:r>
      <w:hyperlink r:id="rId13">
        <w:r>
          <w:rPr>
            <w:rStyle w:val="Hyperlink"/>
            <w:rFonts w:ascii="Times New Roman" w:hAnsi="Times New Roman" w:cs="Times New Roman"/>
            <w:sz w:val="24"/>
            <w:szCs w:val="24"/>
          </w:rPr>
          <w:t>Lei Complementar nº 123, de 2006</w:t>
        </w:r>
      </w:hyperlink>
      <w:r>
        <w:rPr>
          <w:rFonts w:ascii="Times New Roman" w:hAnsi="Times New Roman" w:cs="Times New Roman"/>
          <w:color w:val="auto"/>
          <w:sz w:val="24"/>
          <w:szCs w:val="24"/>
        </w:rPr>
        <w:t xml:space="preserve"> e do Decreto n.º 8.538, de 2015.</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Não poderão disputar esta licitação: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aquele que não atenda às condições deste Edital e seu(s) anexo(s);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pessoa física ou jurídica que se encontre, ao tempo da licitação, impossibilitada de participar da licitação em decorrência de sanção que lhe foi imposta;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empresas controladoras, controladas ou coligadas, nos termos da Lei nº 6.404, de 15 de dezembro de 1976, concorrendo entre si;</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agente público do órgão ou entidade licitante;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Organizações da Sociedade Civil de Interesse Público - OSCIP, atuando nessa condição;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rFonts w:ascii="Times New Roman" w:hAnsi="Times New Roman" w:cs="Times New Roman"/>
            <w:sz w:val="24"/>
            <w:szCs w:val="24"/>
          </w:rPr>
          <w:t>§ 1º do art. 9º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impedimento de que trata 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_Ref113883003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2.6.4</w:t>
      </w:r>
      <w:r>
        <w:rPr>
          <w:rFonts w:ascii="Times New Roman" w:hAnsi="Times New Roman" w:cs="Times New Roman"/>
          <w:sz w:val="24"/>
          <w:szCs w:val="24"/>
        </w:rPr>
        <w:fldChar w:fldCharType="end"/>
      </w:r>
      <w:r>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critério da Administração e exclusivamente a seu serviço, o autor dos projetos e a empresa a que se referem 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_Ref114659912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2.6.2</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_Ref114659913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2.6.3</w:t>
      </w:r>
      <w:r>
        <w:rPr>
          <w:rFonts w:ascii="Times New Roman" w:hAnsi="Times New Roman" w:cs="Times New Roman"/>
          <w:sz w:val="24"/>
          <w:szCs w:val="24"/>
        </w:rPr>
        <w:fldChar w:fldCharType="end"/>
      </w:r>
      <w:r>
        <w:rPr>
          <w:rFonts w:ascii="Times New Roman" w:hAnsi="Times New Roman" w:cs="Times New Roman"/>
          <w:sz w:val="24"/>
          <w:szCs w:val="24"/>
        </w:rPr>
        <w:t xml:space="preserve"> poderão participar no apoio das atividades de </w:t>
      </w:r>
      <w:r>
        <w:rPr>
          <w:rFonts w:ascii="Times New Roman" w:hAnsi="Times New Roman" w:cs="Times New Roman"/>
          <w:sz w:val="24"/>
          <w:szCs w:val="24"/>
        </w:rPr>
        <w:lastRenderedPageBreak/>
        <w:t>planejamento da contratação, de execução da licitação ou de gestão do contrato, desde que sob supervisão exclusiva de agentes públicos do órgão ou entidade.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Equiparam-se aos autores do projeto as empresas integrantes do mesmo grupo econômico.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disposto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_Ref114659912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2.6.2</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_Ref114659913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2.6.3</w:t>
      </w:r>
      <w:r>
        <w:rPr>
          <w:rFonts w:ascii="Times New Roman" w:hAnsi="Times New Roman" w:cs="Times New Roman"/>
          <w:sz w:val="24"/>
          <w:szCs w:val="24"/>
        </w:rPr>
        <w:fldChar w:fldCharType="end"/>
      </w:r>
      <w:r>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Style w:val="Hyperlink"/>
            <w:rFonts w:ascii="Times New Roman" w:hAnsi="Times New Roman" w:cs="Times New Roman"/>
            <w:sz w:val="24"/>
            <w:szCs w:val="24"/>
          </w:rPr>
          <w:t>Lei nº 14.133/2021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vedação de que trata 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_Ref113962336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2.6.8</w:t>
      </w:r>
      <w:r>
        <w:rPr>
          <w:rFonts w:ascii="Times New Roman" w:hAnsi="Times New Roman" w:cs="Times New Roman"/>
          <w:sz w:val="24"/>
          <w:szCs w:val="24"/>
        </w:rPr>
        <w:fldChar w:fldCharType="end"/>
      </w:r>
      <w:r>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APRESENTAÇÃO DA PROPOSTA E DOS DOCUMENTOS DE HABILITAÇÃO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Na presente licitação, a fase de habilitação sucederá as fases de apresentação de propostas e lances e de julgamento.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_Ref114663777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8.1.1</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_Ref114663151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8.13.1</w:t>
      </w:r>
      <w:r>
        <w:rPr>
          <w:rFonts w:ascii="Times New Roman" w:hAnsi="Times New Roman" w:cs="Times New Roman"/>
          <w:sz w:val="24"/>
          <w:szCs w:val="24"/>
        </w:rPr>
        <w:fldChar w:fldCharType="end"/>
      </w:r>
      <w:r>
        <w:rPr>
          <w:rFonts w:ascii="Times New Roman" w:hAnsi="Times New Roman" w:cs="Times New Roman"/>
          <w:sz w:val="24"/>
          <w:szCs w:val="24"/>
        </w:rPr>
        <w:t xml:space="preserve"> deste Edital.</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 cadastramento da proposta inicial, o licitante declarará, em campo próprio do sistema, que:</w:t>
      </w:r>
    </w:p>
    <w:p>
      <w:pPr>
        <w:pStyle w:val="Nivel3"/>
        <w:spacing w:before="0" w:after="0"/>
        <w:ind w:left="284"/>
        <w:rPr>
          <w:rFonts w:ascii="Times New Roman" w:hAnsi="Times New Roman" w:cs="Times New Roman"/>
          <w:color w:val="auto"/>
          <w:sz w:val="24"/>
          <w:szCs w:val="24"/>
        </w:rPr>
      </w:pPr>
      <w:r>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6" w:anchor="art7" w:history="1">
        <w:r>
          <w:rPr>
            <w:rStyle w:val="Hyperlink"/>
            <w:rFonts w:ascii="Times New Roman" w:hAnsi="Times New Roman" w:cs="Times New Roman"/>
            <w:sz w:val="24"/>
            <w:szCs w:val="24"/>
          </w:rPr>
          <w:t>artigo 7°, XXXIII, da Constituição</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não possui empregados executando trabalho degradante ou forçado, observando o disposto nos </w:t>
      </w:r>
      <w:hyperlink r:id="rId17" w:history="1">
        <w:r>
          <w:rPr>
            <w:rStyle w:val="Hyperlink"/>
            <w:rFonts w:ascii="Times New Roman" w:hAnsi="Times New Roman" w:cs="Times New Roman"/>
            <w:sz w:val="24"/>
            <w:szCs w:val="24"/>
          </w:rPr>
          <w:t>incisos III e IV do art. 1º e no inciso III do art. 5º da Constituição Federal</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cumpre as exigências de reserva de cargos para pessoa com deficiência e para reabilitado da Previdência Social, previstas em lei e em outras normas específicas.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8" w:anchor="art16">
        <w:r>
          <w:rPr>
            <w:rStyle w:val="Hyperlink"/>
            <w:rFonts w:ascii="Times New Roman" w:hAnsi="Times New Roman" w:cs="Times New Roman"/>
            <w:sz w:val="24"/>
            <w:szCs w:val="24"/>
          </w:rPr>
          <w:t>artigo 16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Pr>
            <w:rStyle w:val="Hyperlink"/>
            <w:rFonts w:ascii="Times New Roman" w:hAnsi="Times New Roman" w:cs="Times New Roman"/>
            <w:sz w:val="24"/>
            <w:szCs w:val="24"/>
          </w:rPr>
          <w:t>artigo 3° da Lei Complementar nº 123, de 2006</w:t>
        </w:r>
      </w:hyperlink>
      <w:r>
        <w:rPr>
          <w:rFonts w:ascii="Times New Roman" w:hAnsi="Times New Roman" w:cs="Times New Roman"/>
          <w:sz w:val="24"/>
          <w:szCs w:val="24"/>
        </w:rPr>
        <w:t xml:space="preserve">, estando apto a usufruir do tratamento favorecido estabelecido em seus </w:t>
      </w:r>
      <w:hyperlink r:id="rId20" w:anchor="art42" w:history="1">
        <w:r>
          <w:rPr>
            <w:rStyle w:val="Hyperlink"/>
            <w:rFonts w:ascii="Times New Roman" w:hAnsi="Times New Roman" w:cs="Times New Roman"/>
            <w:sz w:val="24"/>
            <w:szCs w:val="24"/>
          </w:rPr>
          <w:t>arts. 42 a 49</w:t>
        </w:r>
      </w:hyperlink>
      <w:r>
        <w:rPr>
          <w:rFonts w:ascii="Times New Roman" w:hAnsi="Times New Roman" w:cs="Times New Roman"/>
          <w:sz w:val="24"/>
          <w:szCs w:val="24"/>
        </w:rPr>
        <w:t xml:space="preserve">, observado o disposto nos </w:t>
      </w:r>
      <w:hyperlink r:id="rId21" w:anchor="art4§1">
        <w:r>
          <w:rPr>
            <w:rStyle w:val="Hyperlink"/>
            <w:rFonts w:ascii="Times New Roman" w:hAnsi="Times New Roman" w:cs="Times New Roman"/>
            <w:sz w:val="24"/>
            <w:szCs w:val="24"/>
          </w:rPr>
          <w:t>§§ 1º ao 3º do art. 4º, da Lei n.º 14.133, de 2021.</w:t>
        </w:r>
      </w:hyperlink>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no item/grupo exclusivo para participação de microempresas e empresas de pequeno porte, a assinalação do campo “não” impedirá o prosseguimento no certame, para aquele item, quando for o caso;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nos itens/grupos em que a participação não for exclusiva para microempresas e empresas de pequeno porte, a assinalação do campo “não” apenas produzirá o efeito de o licitante não ter direito ao tratamento favorecido previsto na </w:t>
      </w:r>
      <w:hyperlink r:id="rId22" w:history="1">
        <w:r>
          <w:rPr>
            <w:rStyle w:val="Hyperlink"/>
            <w:rFonts w:ascii="Times New Roman" w:hAnsi="Times New Roman" w:cs="Times New Roman"/>
            <w:sz w:val="24"/>
            <w:szCs w:val="24"/>
          </w:rPr>
          <w:t>Lei Complementar nº 123, de 2006</w:t>
        </w:r>
      </w:hyperlink>
      <w:r>
        <w:rPr>
          <w:rFonts w:ascii="Times New Roman" w:hAnsi="Times New Roman" w:cs="Times New Roman"/>
          <w:sz w:val="24"/>
          <w:szCs w:val="24"/>
        </w:rPr>
        <w:t>, mesmo que microempresa, empresa de pequeno porte ou sociedade cooperativa, quando for o caso.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falsidade da declaração de que trata 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_Ref113968921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3.4</w:t>
      </w:r>
      <w:r>
        <w:rPr>
          <w:rFonts w:ascii="Times New Roman" w:hAnsi="Times New Roman" w:cs="Times New Roman"/>
          <w:sz w:val="24"/>
          <w:szCs w:val="24"/>
        </w:rPr>
        <w:fldChar w:fldCharType="end"/>
      </w:r>
      <w:r>
        <w:rPr>
          <w:rFonts w:ascii="Times New Roman" w:hAnsi="Times New Roman" w:cs="Times New Roman"/>
          <w:sz w:val="24"/>
          <w:szCs w:val="24"/>
        </w:rPr>
        <w:t xml:space="preserve"> ou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_Ref117000019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3.6</w:t>
      </w:r>
      <w:r>
        <w:rPr>
          <w:rFonts w:ascii="Times New Roman" w:hAnsi="Times New Roman" w:cs="Times New Roman"/>
          <w:sz w:val="24"/>
          <w:szCs w:val="24"/>
        </w:rPr>
        <w:fldChar w:fldCharType="end"/>
      </w:r>
      <w:r>
        <w:rPr>
          <w:rFonts w:ascii="Times New Roman" w:hAnsi="Times New Roman" w:cs="Times New Roman"/>
          <w:sz w:val="24"/>
          <w:szCs w:val="24"/>
        </w:rPr>
        <w:t xml:space="preserve"> sujeitará o licitante às sanções previstas na </w:t>
      </w:r>
      <w:hyperlink r:id="rId23"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e neste Edital.</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os lances serão de envio automático pelo sistema, respeitado o valor final mínimo, caso estabelecido, e o intervalo de que trata o subitem acima.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valor superior a lance já registrado pelo fornecedor no sistema, quando adotado o critério de julgamento por menor preço; 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 xml:space="preserve"> percentual de desconto inferior a lance já registrado pelo fornecedor no sistema, quando adotado o critério de julgamento por maior desconto.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valor final mínimo ou o percentual de desconto final máximo parametrizado na forma do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_Ref116992247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3.11</w:t>
      </w:r>
      <w:r>
        <w:rPr>
          <w:rFonts w:ascii="Times New Roman" w:hAnsi="Times New Roman" w:cs="Times New Roman"/>
          <w:sz w:val="24"/>
          <w:szCs w:val="24"/>
        </w:rPr>
        <w:fldChar w:fldCharType="end"/>
      </w:r>
      <w:r>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pPr>
        <w:pStyle w:val="Nivel2"/>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Caberá ao licitante interessado em participar da licitação </w:t>
      </w:r>
      <w:r>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spacing w:before="0" w:after="0"/>
        <w:rPr>
          <w:rFonts w:ascii="Times New Roman" w:hAnsi="Times New Roman" w:cs="Times New Roman"/>
          <w:sz w:val="24"/>
          <w:szCs w:val="24"/>
        </w:rPr>
      </w:pPr>
      <w:r>
        <w:rPr>
          <w:rFonts w:ascii="Times New Roman" w:eastAsia="Times New Roman" w:hAnsi="Times New Roman" w:cs="Times New Roman"/>
          <w:sz w:val="24"/>
          <w:szCs w:val="24"/>
        </w:rPr>
        <w:t xml:space="preserve">O licitante deverá </w:t>
      </w:r>
      <w:r>
        <w:rPr>
          <w:rFonts w:ascii="Times New Roman" w:hAnsi="Times New Roman" w:cs="Times New Roman"/>
          <w:sz w:val="24"/>
          <w:szCs w:val="24"/>
        </w:rPr>
        <w:t>comunicar imediatamente ao provedor do sistema qualquer acontecimento que possa comprometer o sigilo ou a segurança, para imediato bloqueio de acesso.</w:t>
      </w:r>
    </w:p>
    <w:p>
      <w:pPr>
        <w:pStyle w:val="Nivel01"/>
        <w:numPr>
          <w:ilvl w:val="0"/>
          <w:numId w:val="0"/>
        </w:numPr>
        <w:spacing w:before="0" w:line="276" w:lineRule="auto"/>
        <w:ind w:left="36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DO PREENCHIMENTO DA PROPOSTA</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O licitante deverá enviar sua proposta mediante o preenchimento, no sistema eletrônico, dos seguintes campos:</w:t>
      </w:r>
    </w:p>
    <w:p>
      <w:pPr>
        <w:pStyle w:val="Nvel3-R"/>
        <w:numPr>
          <w:ilvl w:val="2"/>
          <w:numId w:val="2"/>
        </w:numPr>
        <w:spacing w:before="0" w:after="0"/>
        <w:ind w:left="284" w:firstLine="0"/>
        <w:rPr>
          <w:rFonts w:ascii="Times New Roman" w:hAnsi="Times New Roman" w:cs="Times New Roman"/>
          <w:i w:val="0"/>
          <w:color w:val="000000" w:themeColor="text1"/>
          <w:sz w:val="24"/>
          <w:szCs w:val="24"/>
        </w:rPr>
      </w:pPr>
      <w:r>
        <w:rPr>
          <w:rFonts w:ascii="Times New Roman" w:hAnsi="Times New Roman" w:cs="Times New Roman"/>
          <w:i w:val="0"/>
          <w:color w:val="auto"/>
          <w:spacing w:val="-1"/>
          <w:sz w:val="24"/>
          <w:szCs w:val="24"/>
        </w:rPr>
        <w:t>V</w:t>
      </w:r>
      <w:r>
        <w:rPr>
          <w:rFonts w:ascii="Times New Roman" w:hAnsi="Times New Roman" w:cs="Times New Roman"/>
          <w:i w:val="0"/>
          <w:color w:val="auto"/>
          <w:sz w:val="24"/>
          <w:szCs w:val="24"/>
        </w:rPr>
        <w:t>alor unitário</w:t>
      </w:r>
      <w:r>
        <w:rPr>
          <w:rFonts w:ascii="Times New Roman" w:hAnsi="Times New Roman" w:cs="Times New Roman"/>
          <w:i w:val="0"/>
          <w:color w:val="auto"/>
          <w:spacing w:val="1"/>
          <w:sz w:val="24"/>
          <w:szCs w:val="24"/>
        </w:rPr>
        <w:t xml:space="preserve"> e total </w:t>
      </w:r>
      <w:r>
        <w:rPr>
          <w:rFonts w:ascii="Times New Roman" w:hAnsi="Times New Roman" w:cs="Times New Roman"/>
          <w:i w:val="0"/>
          <w:color w:val="auto"/>
          <w:sz w:val="24"/>
          <w:szCs w:val="24"/>
        </w:rPr>
        <w:t>do</w:t>
      </w:r>
      <w:r>
        <w:rPr>
          <w:rFonts w:ascii="Times New Roman" w:hAnsi="Times New Roman" w:cs="Times New Roman"/>
          <w:i w:val="0"/>
          <w:color w:val="auto"/>
          <w:spacing w:val="1"/>
          <w:sz w:val="24"/>
          <w:szCs w:val="24"/>
        </w:rPr>
        <w:t xml:space="preserve"> </w:t>
      </w:r>
      <w:r>
        <w:rPr>
          <w:rFonts w:ascii="Times New Roman" w:hAnsi="Times New Roman" w:cs="Times New Roman"/>
          <w:i w:val="0"/>
          <w:color w:val="auto"/>
          <w:sz w:val="24"/>
          <w:szCs w:val="24"/>
        </w:rPr>
        <w:t>it</w:t>
      </w:r>
      <w:r>
        <w:rPr>
          <w:rFonts w:ascii="Times New Roman" w:hAnsi="Times New Roman" w:cs="Times New Roman"/>
          <w:i w:val="0"/>
          <w:color w:val="auto"/>
          <w:spacing w:val="-1"/>
          <w:sz w:val="24"/>
          <w:szCs w:val="24"/>
        </w:rPr>
        <w:t>em</w:t>
      </w:r>
      <w:r>
        <w:rPr>
          <w:rFonts w:ascii="Times New Roman" w:hAnsi="Times New Roman" w:cs="Times New Roman"/>
          <w:i w:val="0"/>
          <w:color w:val="auto"/>
          <w:sz w:val="24"/>
          <w:szCs w:val="24"/>
        </w:rPr>
        <w:t>,</w:t>
      </w:r>
      <w:r>
        <w:rPr>
          <w:rFonts w:ascii="Times New Roman" w:hAnsi="Times New Roman" w:cs="Times New Roman"/>
          <w:i w:val="0"/>
          <w:color w:val="auto"/>
          <w:spacing w:val="58"/>
          <w:sz w:val="24"/>
          <w:szCs w:val="24"/>
        </w:rPr>
        <w:t xml:space="preserve"> </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m algaris</w:t>
      </w:r>
      <w:r>
        <w:rPr>
          <w:rFonts w:ascii="Times New Roman" w:hAnsi="Times New Roman" w:cs="Times New Roman"/>
          <w:i w:val="0"/>
          <w:color w:val="auto"/>
          <w:spacing w:val="-1"/>
          <w:sz w:val="24"/>
          <w:szCs w:val="24"/>
        </w:rPr>
        <w:t>m</w:t>
      </w:r>
      <w:r>
        <w:rPr>
          <w:rFonts w:ascii="Times New Roman" w:hAnsi="Times New Roman" w:cs="Times New Roman"/>
          <w:i w:val="0"/>
          <w:color w:val="auto"/>
          <w:sz w:val="24"/>
          <w:szCs w:val="24"/>
        </w:rPr>
        <w:t>o,</w:t>
      </w:r>
      <w:r>
        <w:rPr>
          <w:rFonts w:ascii="Times New Roman" w:hAnsi="Times New Roman" w:cs="Times New Roman"/>
          <w:i w:val="0"/>
          <w:color w:val="auto"/>
          <w:spacing w:val="1"/>
          <w:sz w:val="24"/>
          <w:szCs w:val="24"/>
        </w:rPr>
        <w:t xml:space="preserve"> </w:t>
      </w:r>
      <w:r>
        <w:rPr>
          <w:rFonts w:ascii="Times New Roman" w:hAnsi="Times New Roman" w:cs="Times New Roman"/>
          <w:i w:val="0"/>
          <w:color w:val="auto"/>
          <w:spacing w:val="-1"/>
          <w:sz w:val="24"/>
          <w:szCs w:val="24"/>
        </w:rPr>
        <w:t>ex</w:t>
      </w:r>
      <w:r>
        <w:rPr>
          <w:rFonts w:ascii="Times New Roman" w:hAnsi="Times New Roman" w:cs="Times New Roman"/>
          <w:i w:val="0"/>
          <w:color w:val="auto"/>
          <w:sz w:val="24"/>
          <w:szCs w:val="24"/>
        </w:rPr>
        <w:t>pr</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s</w:t>
      </w:r>
      <w:r>
        <w:rPr>
          <w:rFonts w:ascii="Times New Roman" w:hAnsi="Times New Roman" w:cs="Times New Roman"/>
          <w:i w:val="0"/>
          <w:color w:val="auto"/>
          <w:spacing w:val="2"/>
          <w:sz w:val="24"/>
          <w:szCs w:val="24"/>
        </w:rPr>
        <w:t>s</w:t>
      </w:r>
      <w:r>
        <w:rPr>
          <w:rFonts w:ascii="Times New Roman" w:hAnsi="Times New Roman" w:cs="Times New Roman"/>
          <w:i w:val="0"/>
          <w:color w:val="auto"/>
          <w:sz w:val="24"/>
          <w:szCs w:val="24"/>
        </w:rPr>
        <w:t xml:space="preserve">o </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 xml:space="preserve">m </w:t>
      </w:r>
      <w:r>
        <w:rPr>
          <w:rFonts w:ascii="Times New Roman" w:hAnsi="Times New Roman" w:cs="Times New Roman"/>
          <w:i w:val="0"/>
          <w:color w:val="auto"/>
          <w:spacing w:val="-1"/>
          <w:sz w:val="24"/>
          <w:szCs w:val="24"/>
        </w:rPr>
        <w:t>m</w:t>
      </w:r>
      <w:r>
        <w:rPr>
          <w:rFonts w:ascii="Times New Roman" w:hAnsi="Times New Roman" w:cs="Times New Roman"/>
          <w:i w:val="0"/>
          <w:color w:val="auto"/>
          <w:sz w:val="24"/>
          <w:szCs w:val="24"/>
        </w:rPr>
        <w:t>o</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da</w:t>
      </w:r>
      <w:r>
        <w:rPr>
          <w:rFonts w:ascii="Times New Roman" w:hAnsi="Times New Roman" w:cs="Times New Roman"/>
          <w:i w:val="0"/>
          <w:color w:val="auto"/>
          <w:spacing w:val="3"/>
          <w:sz w:val="24"/>
          <w:szCs w:val="24"/>
        </w:rPr>
        <w:t xml:space="preserve"> </w:t>
      </w:r>
      <w:r>
        <w:rPr>
          <w:rFonts w:ascii="Times New Roman" w:hAnsi="Times New Roman" w:cs="Times New Roman"/>
          <w:i w:val="0"/>
          <w:color w:val="auto"/>
          <w:spacing w:val="-1"/>
          <w:sz w:val="24"/>
          <w:szCs w:val="24"/>
        </w:rPr>
        <w:t>c</w:t>
      </w:r>
      <w:r>
        <w:rPr>
          <w:rFonts w:ascii="Times New Roman" w:hAnsi="Times New Roman" w:cs="Times New Roman"/>
          <w:i w:val="0"/>
          <w:color w:val="auto"/>
          <w:sz w:val="24"/>
          <w:szCs w:val="24"/>
        </w:rPr>
        <w:t>orr</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nte</w:t>
      </w:r>
      <w:r>
        <w:rPr>
          <w:rFonts w:ascii="Times New Roman" w:hAnsi="Times New Roman" w:cs="Times New Roman"/>
          <w:i w:val="0"/>
          <w:color w:val="auto"/>
          <w:w w:val="99"/>
          <w:sz w:val="24"/>
          <w:szCs w:val="24"/>
        </w:rPr>
        <w:t xml:space="preserve"> </w:t>
      </w:r>
      <w:r>
        <w:rPr>
          <w:rFonts w:ascii="Times New Roman" w:hAnsi="Times New Roman" w:cs="Times New Roman"/>
          <w:i w:val="0"/>
          <w:color w:val="auto"/>
          <w:sz w:val="24"/>
          <w:szCs w:val="24"/>
        </w:rPr>
        <w:t>na</w:t>
      </w:r>
      <w:r>
        <w:rPr>
          <w:rFonts w:ascii="Times New Roman" w:hAnsi="Times New Roman" w:cs="Times New Roman"/>
          <w:i w:val="0"/>
          <w:color w:val="auto"/>
          <w:spacing w:val="-1"/>
          <w:sz w:val="24"/>
          <w:szCs w:val="24"/>
        </w:rPr>
        <w:t>c</w:t>
      </w:r>
      <w:r>
        <w:rPr>
          <w:rFonts w:ascii="Times New Roman" w:hAnsi="Times New Roman" w:cs="Times New Roman"/>
          <w:i w:val="0"/>
          <w:color w:val="auto"/>
          <w:sz w:val="24"/>
          <w:szCs w:val="24"/>
        </w:rPr>
        <w:t>ional</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pacing w:val="-5"/>
          <w:sz w:val="24"/>
          <w:szCs w:val="24"/>
        </w:rPr>
        <w:t>(</w:t>
      </w:r>
      <w:r>
        <w:rPr>
          <w:rFonts w:ascii="Times New Roman" w:hAnsi="Times New Roman" w:cs="Times New Roman"/>
          <w:i w:val="0"/>
          <w:color w:val="auto"/>
          <w:spacing w:val="2"/>
          <w:sz w:val="24"/>
          <w:szCs w:val="24"/>
        </w:rPr>
        <w:t>r</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a</w:t>
      </w:r>
      <w:r>
        <w:rPr>
          <w:rFonts w:ascii="Times New Roman" w:hAnsi="Times New Roman" w:cs="Times New Roman"/>
          <w:i w:val="0"/>
          <w:color w:val="auto"/>
          <w:spacing w:val="2"/>
          <w:sz w:val="24"/>
          <w:szCs w:val="24"/>
        </w:rPr>
        <w:t>l</w:t>
      </w:r>
      <w:r>
        <w:rPr>
          <w:rFonts w:ascii="Times New Roman" w:hAnsi="Times New Roman" w:cs="Times New Roman"/>
          <w:i w:val="0"/>
          <w:color w:val="auto"/>
          <w:spacing w:val="-5"/>
          <w:sz w:val="24"/>
          <w:szCs w:val="24"/>
        </w:rPr>
        <w:t>)</w:t>
      </w:r>
      <w:r>
        <w:rPr>
          <w:rFonts w:ascii="Times New Roman" w:hAnsi="Times New Roman" w:cs="Times New Roman"/>
          <w:i w:val="0"/>
          <w:color w:val="auto"/>
          <w:sz w:val="24"/>
          <w:szCs w:val="24"/>
        </w:rPr>
        <w:t>,</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pacing w:val="-1"/>
          <w:sz w:val="24"/>
          <w:szCs w:val="24"/>
        </w:rPr>
        <w:t>c</w:t>
      </w:r>
      <w:r>
        <w:rPr>
          <w:rFonts w:ascii="Times New Roman" w:hAnsi="Times New Roman" w:cs="Times New Roman"/>
          <w:i w:val="0"/>
          <w:color w:val="auto"/>
          <w:sz w:val="24"/>
          <w:szCs w:val="24"/>
        </w:rPr>
        <w:t>onsid</w:t>
      </w:r>
      <w:r>
        <w:rPr>
          <w:rFonts w:ascii="Times New Roman" w:hAnsi="Times New Roman" w:cs="Times New Roman"/>
          <w:i w:val="0"/>
          <w:color w:val="auto"/>
          <w:spacing w:val="-1"/>
          <w:sz w:val="24"/>
          <w:szCs w:val="24"/>
        </w:rPr>
        <w:t>e</w:t>
      </w:r>
      <w:r>
        <w:rPr>
          <w:rFonts w:ascii="Times New Roman" w:hAnsi="Times New Roman" w:cs="Times New Roman"/>
          <w:i w:val="0"/>
          <w:color w:val="auto"/>
          <w:spacing w:val="2"/>
          <w:sz w:val="24"/>
          <w:szCs w:val="24"/>
        </w:rPr>
        <w:t>r</w:t>
      </w:r>
      <w:r>
        <w:rPr>
          <w:rFonts w:ascii="Times New Roman" w:hAnsi="Times New Roman" w:cs="Times New Roman"/>
          <w:i w:val="0"/>
          <w:color w:val="auto"/>
          <w:sz w:val="24"/>
          <w:szCs w:val="24"/>
        </w:rPr>
        <w:t>ando</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z w:val="24"/>
          <w:szCs w:val="24"/>
        </w:rPr>
        <w:t>as</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z w:val="24"/>
          <w:szCs w:val="24"/>
        </w:rPr>
        <w:t>quantidad</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s</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pacing w:val="-1"/>
          <w:sz w:val="24"/>
          <w:szCs w:val="24"/>
        </w:rPr>
        <w:t>c</w:t>
      </w:r>
      <w:r>
        <w:rPr>
          <w:rFonts w:ascii="Times New Roman" w:hAnsi="Times New Roman" w:cs="Times New Roman"/>
          <w:i w:val="0"/>
          <w:color w:val="auto"/>
          <w:sz w:val="24"/>
          <w:szCs w:val="24"/>
        </w:rPr>
        <w:t>onstant</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s</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z w:val="24"/>
          <w:szCs w:val="24"/>
        </w:rPr>
        <w:t>do</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pacing w:val="1"/>
          <w:sz w:val="24"/>
          <w:szCs w:val="24"/>
        </w:rPr>
        <w:t>T</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r</w:t>
      </w:r>
      <w:r>
        <w:rPr>
          <w:rFonts w:ascii="Times New Roman" w:hAnsi="Times New Roman" w:cs="Times New Roman"/>
          <w:i w:val="0"/>
          <w:color w:val="auto"/>
          <w:spacing w:val="-1"/>
          <w:sz w:val="24"/>
          <w:szCs w:val="24"/>
        </w:rPr>
        <w:t>m</w:t>
      </w:r>
      <w:r>
        <w:rPr>
          <w:rFonts w:ascii="Times New Roman" w:hAnsi="Times New Roman" w:cs="Times New Roman"/>
          <w:i w:val="0"/>
          <w:color w:val="auto"/>
          <w:sz w:val="24"/>
          <w:szCs w:val="24"/>
        </w:rPr>
        <w:t>o</w:t>
      </w:r>
      <w:r>
        <w:rPr>
          <w:rFonts w:ascii="Times New Roman" w:hAnsi="Times New Roman" w:cs="Times New Roman"/>
          <w:i w:val="0"/>
          <w:color w:val="auto"/>
          <w:spacing w:val="-8"/>
          <w:sz w:val="24"/>
          <w:szCs w:val="24"/>
        </w:rPr>
        <w:t xml:space="preserve"> </w:t>
      </w:r>
      <w:r>
        <w:rPr>
          <w:rFonts w:ascii="Times New Roman" w:hAnsi="Times New Roman" w:cs="Times New Roman"/>
          <w:i w:val="0"/>
          <w:color w:val="auto"/>
          <w:sz w:val="24"/>
          <w:szCs w:val="24"/>
        </w:rPr>
        <w:t>de</w:t>
      </w:r>
      <w:r>
        <w:rPr>
          <w:rFonts w:ascii="Times New Roman" w:hAnsi="Times New Roman" w:cs="Times New Roman"/>
          <w:i w:val="0"/>
          <w:color w:val="auto"/>
          <w:spacing w:val="-9"/>
          <w:sz w:val="24"/>
          <w:szCs w:val="24"/>
        </w:rPr>
        <w:t xml:space="preserve"> </w:t>
      </w:r>
      <w:r>
        <w:rPr>
          <w:rFonts w:ascii="Times New Roman" w:hAnsi="Times New Roman" w:cs="Times New Roman"/>
          <w:i w:val="0"/>
          <w:color w:val="auto"/>
          <w:spacing w:val="-1"/>
          <w:sz w:val="24"/>
          <w:szCs w:val="24"/>
        </w:rPr>
        <w:t>Re</w:t>
      </w:r>
      <w:r>
        <w:rPr>
          <w:rFonts w:ascii="Times New Roman" w:hAnsi="Times New Roman" w:cs="Times New Roman"/>
          <w:i w:val="0"/>
          <w:color w:val="auto"/>
          <w:sz w:val="24"/>
          <w:szCs w:val="24"/>
        </w:rPr>
        <w:t>f</w:t>
      </w:r>
      <w:r>
        <w:rPr>
          <w:rFonts w:ascii="Times New Roman" w:hAnsi="Times New Roman" w:cs="Times New Roman"/>
          <w:i w:val="0"/>
          <w:color w:val="auto"/>
          <w:spacing w:val="1"/>
          <w:sz w:val="24"/>
          <w:szCs w:val="24"/>
        </w:rPr>
        <w:t>e</w:t>
      </w:r>
      <w:r>
        <w:rPr>
          <w:rFonts w:ascii="Times New Roman" w:hAnsi="Times New Roman" w:cs="Times New Roman"/>
          <w:i w:val="0"/>
          <w:color w:val="auto"/>
          <w:sz w:val="24"/>
          <w:szCs w:val="24"/>
        </w:rPr>
        <w:t>r</w:t>
      </w:r>
      <w:r>
        <w:rPr>
          <w:rFonts w:ascii="Times New Roman" w:hAnsi="Times New Roman" w:cs="Times New Roman"/>
          <w:i w:val="0"/>
          <w:color w:val="auto"/>
          <w:spacing w:val="-1"/>
          <w:sz w:val="24"/>
          <w:szCs w:val="24"/>
        </w:rPr>
        <w:t>ê</w:t>
      </w:r>
      <w:r>
        <w:rPr>
          <w:rFonts w:ascii="Times New Roman" w:hAnsi="Times New Roman" w:cs="Times New Roman"/>
          <w:i w:val="0"/>
          <w:color w:val="auto"/>
          <w:sz w:val="24"/>
          <w:szCs w:val="24"/>
        </w:rPr>
        <w:t>n</w:t>
      </w:r>
      <w:r>
        <w:rPr>
          <w:rFonts w:ascii="Times New Roman" w:hAnsi="Times New Roman" w:cs="Times New Roman"/>
          <w:i w:val="0"/>
          <w:color w:val="auto"/>
          <w:spacing w:val="-1"/>
          <w:sz w:val="24"/>
          <w:szCs w:val="24"/>
        </w:rPr>
        <w:t>c</w:t>
      </w:r>
      <w:r>
        <w:rPr>
          <w:rFonts w:ascii="Times New Roman" w:hAnsi="Times New Roman" w:cs="Times New Roman"/>
          <w:i w:val="0"/>
          <w:color w:val="auto"/>
          <w:sz w:val="24"/>
          <w:szCs w:val="24"/>
        </w:rPr>
        <w:t>ia;</w:t>
      </w:r>
    </w:p>
    <w:p>
      <w:pPr>
        <w:pStyle w:val="Nivel3"/>
        <w:spacing w:before="0" w:after="0"/>
        <w:ind w:left="284"/>
        <w:rPr>
          <w:rFonts w:ascii="Times New Roman" w:hAnsi="Times New Roman" w:cs="Times New Roman"/>
          <w:color w:val="auto"/>
          <w:sz w:val="24"/>
          <w:szCs w:val="24"/>
        </w:rPr>
      </w:pPr>
      <w:r>
        <w:rPr>
          <w:rFonts w:ascii="Times New Roman" w:hAnsi="Times New Roman" w:cs="Times New Roman"/>
          <w:spacing w:val="-1"/>
          <w:sz w:val="24"/>
          <w:szCs w:val="24"/>
        </w:rPr>
        <w:t>Descrição do objeto, contendo as informações similares à especificação do Termo de Referência.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Todas as especificações do objeto contidas na proposta vinculam o licitante.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licitante NÃO poderá oferecer proposta em quantitativo inferior ao máximo previsto para contratação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Independentemente do percentual de tributo inserido na planilha, no pagamento serão retidos na fonte os percentuais estabelecidos na legislação vigente.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 xml:space="preserve">O prazo de validade da proposta não será inferior a </w:t>
      </w:r>
      <w:r>
        <w:rPr>
          <w:rFonts w:ascii="Times New Roman" w:hAnsi="Times New Roman" w:cs="Times New Roman"/>
          <w:b/>
          <w:bCs/>
          <w:color w:val="auto"/>
          <w:sz w:val="24"/>
          <w:szCs w:val="24"/>
        </w:rPr>
        <w:t>60 (sessenta)</w:t>
      </w:r>
      <w:r>
        <w:rPr>
          <w:rFonts w:ascii="Times New Roman" w:hAnsi="Times New Roman" w:cs="Times New Roman"/>
          <w:color w:val="FF0000"/>
          <w:sz w:val="24"/>
          <w:szCs w:val="24"/>
        </w:rPr>
        <w:t xml:space="preserve"> </w:t>
      </w:r>
      <w:r>
        <w:rPr>
          <w:rFonts w:ascii="Times New Roman" w:hAnsi="Times New Roman" w:cs="Times New Roman"/>
          <w:sz w:val="24"/>
          <w:szCs w:val="24"/>
        </w:rPr>
        <w:t>dias</w:t>
      </w:r>
      <w:r>
        <w:rPr>
          <w:rFonts w:ascii="Times New Roman" w:hAnsi="Times New Roman" w:cs="Times New Roman"/>
          <w:b/>
          <w:sz w:val="24"/>
          <w:szCs w:val="24"/>
        </w:rPr>
        <w:t>,</w:t>
      </w:r>
      <w:r>
        <w:rPr>
          <w:rFonts w:ascii="Times New Roman" w:hAnsi="Times New Roman" w:cs="Times New Roman"/>
          <w:sz w:val="24"/>
          <w:szCs w:val="24"/>
        </w:rPr>
        <w:t xml:space="preserve"> a contar da data de sua apresentação.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3.9.</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 xml:space="preserve">O descumprimento das regras supramencionadas pela Administração por parte dos contratados pode ensejar a </w:t>
      </w:r>
      <w:r>
        <w:rPr>
          <w:rFonts w:ascii="Times New Roman" w:hAnsi="Times New Roman" w:cs="Times New Roman"/>
          <w:color w:val="000000" w:themeColor="text1"/>
          <w:sz w:val="24"/>
          <w:szCs w:val="24"/>
        </w:rPr>
        <w:t>responsabilização pelo</w:t>
      </w:r>
      <w:r>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4" w:history="1">
        <w:r>
          <w:rPr>
            <w:rStyle w:val="Hyperlink"/>
            <w:rFonts w:ascii="Times New Roman" w:hAnsi="Times New Roman" w:cs="Times New Roman"/>
            <w:sz w:val="24"/>
            <w:szCs w:val="24"/>
          </w:rPr>
          <w:t>art. 71, inciso IX, da Constituição</w:t>
        </w:r>
      </w:hyperlink>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pPr>
        <w:tabs>
          <w:tab w:val="left" w:pos="3060"/>
        </w:tabs>
        <w:rPr>
          <w:sz w:val="24"/>
          <w:szCs w:val="24"/>
          <w:lang w:eastAsia="pt-BR"/>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ABERTURA DA SESSÃO, CLASSIFICAÇÃO DAS PROPOSTAS E FORMULAÇÃO DE LANCES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abertura da presente licitação dar-se-á automaticamente em sessão pública, por meio de sistema eletrônico, na data, horário e local indicados neste Edital.</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sistema disponibilizará campo próprio para troca de mensagens entre o Pregoeiro e os licitantes.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lance deverá ser ofertado pelo </w:t>
      </w:r>
      <w:r>
        <w:rPr>
          <w:rFonts w:ascii="Times New Roman" w:hAnsi="Times New Roman" w:cs="Times New Roman"/>
          <w:b/>
          <w:sz w:val="24"/>
          <w:szCs w:val="24"/>
        </w:rPr>
        <w:t>valor total do grupo</w:t>
      </w:r>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licitantes poderão oferecer lances sucessivos, observando o horário fixado para abertura da sessão e as regras estabelecidas no Edital.</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licitante somente poderá oferecer lance </w:t>
      </w:r>
      <w:r>
        <w:rPr>
          <w:rFonts w:ascii="Times New Roman" w:hAnsi="Times New Roman" w:cs="Times New Roman"/>
          <w:iCs/>
          <w:color w:val="auto"/>
          <w:sz w:val="24"/>
          <w:szCs w:val="24"/>
        </w:rPr>
        <w:t>de valor</w:t>
      </w:r>
      <w:r>
        <w:rPr>
          <w:rFonts w:ascii="Times New Roman" w:hAnsi="Times New Roman" w:cs="Times New Roman"/>
          <w:color w:val="auto"/>
          <w:sz w:val="24"/>
          <w:szCs w:val="24"/>
        </w:rPr>
        <w:t xml:space="preserve"> </w:t>
      </w:r>
      <w:r>
        <w:rPr>
          <w:rFonts w:ascii="Times New Roman" w:hAnsi="Times New Roman" w:cs="Times New Roman"/>
          <w:iCs/>
          <w:color w:val="auto"/>
          <w:sz w:val="24"/>
          <w:szCs w:val="24"/>
        </w:rPr>
        <w:t>inferior</w:t>
      </w:r>
      <w:r>
        <w:rPr>
          <w:rFonts w:ascii="Times New Roman" w:hAnsi="Times New Roman" w:cs="Times New Roman"/>
          <w:color w:val="auto"/>
          <w:sz w:val="24"/>
          <w:szCs w:val="24"/>
        </w:rPr>
        <w:t xml:space="preserve"> </w:t>
      </w:r>
      <w:r>
        <w:rPr>
          <w:rFonts w:ascii="Times New Roman" w:hAnsi="Times New Roman" w:cs="Times New Roman"/>
          <w:iCs/>
          <w:color w:val="auto"/>
          <w:sz w:val="24"/>
          <w:szCs w:val="24"/>
        </w:rPr>
        <w:t>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iCs/>
          <w:sz w:val="24"/>
          <w:szCs w:val="24"/>
        </w:rPr>
        <w:t xml:space="preserve"> </w:t>
      </w:r>
      <w:r>
        <w:rPr>
          <w:rFonts w:ascii="Times New Roman" w:hAnsi="Times New Roman" w:cs="Times New Roman"/>
          <w:iCs/>
          <w:color w:val="auto"/>
          <w:sz w:val="24"/>
          <w:szCs w:val="24"/>
        </w:rPr>
        <w:t>de</w:t>
      </w:r>
      <w:r>
        <w:rPr>
          <w:rFonts w:ascii="Times New Roman" w:hAnsi="Times New Roman" w:cs="Times New Roman"/>
          <w:i/>
          <w:iCs/>
          <w:color w:val="FF0000"/>
          <w:sz w:val="24"/>
          <w:szCs w:val="24"/>
        </w:rPr>
        <w:t xml:space="preserve"> </w:t>
      </w:r>
      <w:r>
        <w:rPr>
          <w:rFonts w:ascii="Times New Roman" w:hAnsi="Times New Roman" w:cs="Times New Roman"/>
          <w:b/>
          <w:sz w:val="24"/>
          <w:szCs w:val="24"/>
        </w:rPr>
        <w:t>0,2% (zero vírgula dois por cento).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procedimento seguirá de acordo com o modo de disputa adotado.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Para este edital será adotado para o envio de lances no pregão eletrônico o modo de disputa “aberto”, onde os licitantes apresentarão lances públicos e sucessivos, com prorrogações.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Após o reinício previsto no item supra, os licitantes serão convocados para apresentar lances intermediários.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Após o término dos prazos estabelecidos no subitem anterior, o sistema ordenará e divulgará os lances segundo a ordem crescente de valores.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Não serão aceitos dois ou mais lances de mesmo valor, prevalecendo aquele que for recebido e registrado em primeiro lugar.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Caso o licitante não apresente lances, concorrerá com o valor de sua proposta.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Em relação a itens/grupos não exclusivos para participação de microempresas e empresas de pequeno porte, uma vez encerrada a etapa de lances</w:t>
      </w:r>
      <w:r>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cs="Times New Roman"/>
          <w:sz w:val="24"/>
          <w:szCs w:val="24"/>
        </w:rPr>
        <w:t>participantes</w:t>
      </w:r>
      <w:r>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5" w:anchor="art44">
        <w:r>
          <w:rPr>
            <w:rStyle w:val="Hyperlink"/>
            <w:rFonts w:ascii="Times New Roman" w:eastAsia="Zurich BT" w:hAnsi="Times New Roman" w:cs="Times New Roman"/>
            <w:sz w:val="24"/>
            <w:szCs w:val="24"/>
          </w:rPr>
          <w:t>arts. 44 e 45 da Lei Complementar nº 123, de 2006</w:t>
        </w:r>
      </w:hyperlink>
      <w:r>
        <w:rPr>
          <w:rFonts w:ascii="Times New Roman" w:eastAsia="Zurich BT" w:hAnsi="Times New Roman" w:cs="Times New Roman"/>
          <w:sz w:val="24"/>
          <w:szCs w:val="24"/>
        </w:rPr>
        <w:t xml:space="preserve">, regulamentada pelo </w:t>
      </w:r>
      <w:hyperlink r:id="rId26">
        <w:r>
          <w:rPr>
            <w:rStyle w:val="Hyperlink"/>
            <w:rFonts w:ascii="Times New Roman" w:eastAsia="Zurich BT" w:hAnsi="Times New Roman" w:cs="Times New Roman"/>
            <w:sz w:val="24"/>
            <w:szCs w:val="24"/>
          </w:rPr>
          <w:t>Decreto nº 8.538, de 2015</w:t>
        </w:r>
      </w:hyperlink>
      <w:r>
        <w:rPr>
          <w:rFonts w:ascii="Times New Roman" w:eastAsia="Zurich BT"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Nessas condições, as propostas de </w:t>
      </w:r>
      <w:r>
        <w:rPr>
          <w:rFonts w:ascii="Times New Roman" w:eastAsia="Zurich BT" w:hAnsi="Times New Roman"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A melhor classificada nos termos do subitem anterior terá o direito de encaminhar uma última oferta para desempate, obrigatoriamente em valor inferior ao da </w:t>
      </w:r>
      <w:r>
        <w:rPr>
          <w:rFonts w:ascii="Times New Roman" w:hAnsi="Times New Roman" w:cs="Times New Roman"/>
          <w:sz w:val="24"/>
          <w:szCs w:val="24"/>
        </w:rPr>
        <w:lastRenderedPageBreak/>
        <w:t>primeira colocada, no prazo de 5 (cinco) minutos controlados pelo sistema, contados após a comunicação automática para tanto.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Caso a </w:t>
      </w:r>
      <w:r>
        <w:rPr>
          <w:rFonts w:ascii="Times New Roman" w:eastAsia="Zurich BT" w:hAnsi="Times New Roman"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eastAsia="Zurich BT" w:hAnsi="Times New Roman"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Havendo eventual empate entre propostas ou lances, o critério de desempate será aquele previsto no </w:t>
      </w:r>
      <w:hyperlink r:id="rId27" w:anchor="art60" w:history="1">
        <w:r>
          <w:rPr>
            <w:rStyle w:val="Hyperlink"/>
            <w:rFonts w:ascii="Times New Roman" w:eastAsia="Arial" w:hAnsi="Times New Roman" w:cs="Times New Roman"/>
            <w:sz w:val="24"/>
            <w:szCs w:val="24"/>
          </w:rPr>
          <w:t>art</w:t>
        </w:r>
        <w:r>
          <w:rPr>
            <w:rStyle w:val="Hyperlink"/>
            <w:rFonts w:ascii="Times New Roman" w:hAnsi="Times New Roman" w:cs="Times New Roman"/>
            <w:sz w:val="24"/>
            <w:szCs w:val="24"/>
          </w:rPr>
          <w:t>. 60 da Lei nº 14.133, de 2021</w:t>
        </w:r>
      </w:hyperlink>
      <w:r>
        <w:rPr>
          <w:rFonts w:ascii="Times New Roman" w:hAnsi="Times New Roman" w:cs="Times New Roman"/>
          <w:sz w:val="24"/>
          <w:szCs w:val="24"/>
        </w:rPr>
        <w:t>, nesta ordem:</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disputa final, hipótese em que os licitantes empatados poderão apresentar nova proposta em ato contínuo à classificação;</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desenvolvimento pelo licitante de ações de equidade entre homens e mulheres no ambiente de trabalho, conforme regulamento;</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desenvolvimento pelo licitante de programa de integridade, conforme orientações dos órgãos de controle.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Persistindo o empate, será assegurada preferência, sucessivamente, aos bens e serviços produzidos ou prestados por:</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empresas brasileiras;</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empresas que invistam em pesquisa e no desenvolvimento de tecnologia no País;</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Pr>
            <w:rStyle w:val="Hyperlink"/>
            <w:rFonts w:ascii="Times New Roman" w:hAnsi="Times New Roman" w:cs="Times New Roman"/>
            <w:sz w:val="24"/>
            <w:szCs w:val="24"/>
          </w:rPr>
          <w:t>Lei nº 12.187, de 29 de dezembro de 2009</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2"/>
        </w:numPr>
        <w:spacing w:before="0" w:after="0"/>
        <w:ind w:left="284"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Não será admitida a previsão de preços diferentes em razão de local de entrega ou de acondicionamento, tamanho de lote ou qualquer outro motivo.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spacing w:before="0" w:after="0"/>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hAnsi="Times New Roman" w:cs="Times New Roman"/>
          <w:sz w:val="24"/>
          <w:szCs w:val="24"/>
        </w:rPr>
        <w:t>negociação será realizada por meio do sistema, podendo ser acompanhada pelos demais licitantes.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resultado da negociação será divulgado a todos os licitantes e anexado aos autos do processo licitatório.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O pregoeiro solicitará ao licitante mais bem classificado que, no prazo de </w:t>
      </w:r>
      <w:r>
        <w:rPr>
          <w:rFonts w:ascii="Times New Roman" w:hAnsi="Times New Roman" w:cs="Times New Roman"/>
          <w:b/>
          <w:color w:val="auto"/>
          <w:sz w:val="24"/>
          <w:szCs w:val="24"/>
        </w:rPr>
        <w:t>3 (três) horas</w:t>
      </w:r>
      <w:r>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p>
    <w:p>
      <w:pPr>
        <w:pStyle w:val="Nivel3"/>
        <w:spacing w:before="0" w:after="0"/>
        <w:ind w:left="284"/>
        <w:rPr>
          <w:rFonts w:ascii="Times New Roman" w:hAnsi="Times New Roman" w:cs="Times New Roman"/>
          <w:iCs/>
          <w:sz w:val="24"/>
          <w:szCs w:val="24"/>
        </w:rPr>
      </w:pPr>
      <w:r>
        <w:rPr>
          <w:rFonts w:ascii="Times New Roman" w:hAnsi="Times New Roman" w:cs="Times New Roman"/>
          <w:sz w:val="24"/>
          <w:szCs w:val="24"/>
        </w:rPr>
        <w:t>É facultado ao pregoeiro prorrogar o prazo estabelecido, a partir de solicitação fundamentada feita no chat pelo licitante, antes de findo o prazo.</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Após a negociação do preço, o Pregoeiro iniciará a fase de aceitação e julgamento da proposta.</w:t>
      </w:r>
    </w:p>
    <w:p>
      <w:pPr>
        <w:pStyle w:val="Nivel2"/>
        <w:numPr>
          <w:ilvl w:val="0"/>
          <w:numId w:val="0"/>
        </w:numPr>
        <w:spacing w:before="0" w:after="0"/>
        <w:rPr>
          <w:rFonts w:ascii="Times New Roman" w:eastAsia="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FASE DE JULGAMENTO</w:t>
      </w:r>
    </w:p>
    <w:p>
      <w:pPr>
        <w:pStyle w:val="Nivel2"/>
        <w:spacing w:before="0" w:after="0"/>
        <w:rPr>
          <w:rFonts w:ascii="Times New Roman" w:hAnsi="Times New Roman" w:cs="Times New Roman"/>
          <w:b/>
          <w:bCs/>
          <w:sz w:val="24"/>
          <w:szCs w:val="24"/>
          <w:lang w:eastAsia="ar-SA"/>
        </w:rPr>
      </w:pPr>
      <w:r>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Pr>
            <w:rStyle w:val="Hyperlink"/>
            <w:rFonts w:ascii="Times New Roman" w:hAnsi="Times New Roman" w:cs="Times New Roman"/>
            <w:sz w:val="24"/>
            <w:szCs w:val="24"/>
          </w:rPr>
          <w:t>art. 14 da Lei nº 14.133/2021</w:t>
        </w:r>
      </w:hyperlink>
      <w:r>
        <w:rPr>
          <w:rFonts w:ascii="Times New Roman" w:hAnsi="Times New Roman" w:cs="Times New Roman"/>
          <w:sz w:val="24"/>
          <w:szCs w:val="24"/>
        </w:rPr>
        <w:t xml:space="preserve">, legislação correlata e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_Ref117000692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6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pPr>
        <w:pStyle w:val="Nivel3"/>
        <w:spacing w:before="0" w:after="0"/>
        <w:ind w:left="284"/>
        <w:rPr>
          <w:rFonts w:ascii="Times New Roman" w:hAnsi="Times New Roman" w:cs="Times New Roman"/>
          <w:sz w:val="24"/>
          <w:szCs w:val="24"/>
          <w:lang w:eastAsia="ar-SA"/>
        </w:rPr>
      </w:pPr>
      <w:r>
        <w:rPr>
          <w:rFonts w:ascii="Times New Roman" w:hAnsi="Times New Roman" w:cs="Times New Roman"/>
          <w:sz w:val="24"/>
          <w:szCs w:val="24"/>
          <w:lang w:eastAsia="ar-SA"/>
        </w:rPr>
        <w:t xml:space="preserve">SICAF; </w:t>
      </w:r>
    </w:p>
    <w:p>
      <w:pPr>
        <w:pStyle w:val="Nivel3"/>
        <w:spacing w:before="0" w:after="0"/>
        <w:ind w:left="284"/>
        <w:rPr>
          <w:rFonts w:ascii="Times New Roman" w:hAnsi="Times New Roman" w:cs="Times New Roman"/>
          <w:sz w:val="24"/>
          <w:szCs w:val="24"/>
          <w:lang w:eastAsia="ar-SA"/>
        </w:rPr>
      </w:pPr>
      <w:r>
        <w:rPr>
          <w:rFonts w:ascii="Times New Roman" w:hAnsi="Times New Roman" w:cs="Times New Roman"/>
          <w:sz w:val="24"/>
          <w:szCs w:val="24"/>
          <w:lang w:eastAsia="ar-SA"/>
        </w:rPr>
        <w:t>Cadastro Nacional de Empresas Inidôneas e Suspensas - CEIS, mantido pela Controladoria-Geral da União (</w:t>
      </w:r>
      <w:hyperlink r:id="rId30" w:history="1">
        <w:r>
          <w:rPr>
            <w:rStyle w:val="Hyperlink"/>
            <w:rFonts w:ascii="Times New Roman" w:hAnsi="Times New Roman" w:cs="Times New Roman"/>
            <w:sz w:val="24"/>
            <w:szCs w:val="24"/>
          </w:rPr>
          <w:t>https://www.portaltransparencia.gov.br/sancoes/ceis</w:t>
        </w:r>
      </w:hyperlink>
      <w:r>
        <w:rPr>
          <w:rFonts w:ascii="Times New Roman" w:hAnsi="Times New Roman" w:cs="Times New Roman"/>
          <w:sz w:val="24"/>
          <w:szCs w:val="24"/>
          <w:lang w:eastAsia="ar-SA"/>
        </w:rPr>
        <w:t xml:space="preserve">); e </w:t>
      </w:r>
    </w:p>
    <w:p>
      <w:pPr>
        <w:pStyle w:val="Nivel3"/>
        <w:spacing w:before="0" w:after="0"/>
        <w:ind w:left="284"/>
        <w:rPr>
          <w:rFonts w:ascii="Times New Roman" w:hAnsi="Times New Roman" w:cs="Times New Roman"/>
          <w:sz w:val="24"/>
          <w:szCs w:val="24"/>
          <w:lang w:eastAsia="ar-SA"/>
        </w:rPr>
      </w:pPr>
      <w:r>
        <w:rPr>
          <w:rFonts w:ascii="Times New Roman" w:hAnsi="Times New Roman" w:cs="Times New Roman"/>
          <w:sz w:val="24"/>
          <w:szCs w:val="24"/>
          <w:lang w:eastAsia="ar-SA"/>
        </w:rPr>
        <w:t>Cadastro Nacional de Empresas Punidas – CNEP, mantido pela Controladoria-Geral da União (</w:t>
      </w:r>
      <w:hyperlink r:id="rId31" w:history="1">
        <w:r>
          <w:rPr>
            <w:rStyle w:val="Hyperlink"/>
            <w:rFonts w:ascii="Times New Roman" w:hAnsi="Times New Roman" w:cs="Times New Roman"/>
            <w:sz w:val="24"/>
            <w:szCs w:val="24"/>
          </w:rPr>
          <w:t>https://www.portaltransparencia.gov.br/sancoes/cnep</w:t>
        </w:r>
      </w:hyperlink>
      <w:r>
        <w:rPr>
          <w:rFonts w:ascii="Times New Roman" w:hAnsi="Times New Roman" w:cs="Times New Roman"/>
          <w:sz w:val="24"/>
          <w:szCs w:val="24"/>
          <w:lang w:eastAsia="ar-SA"/>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Pr>
            <w:rStyle w:val="Hyperlink"/>
            <w:rFonts w:ascii="Times New Roman" w:hAnsi="Times New Roman" w:cs="Times New Roman"/>
            <w:sz w:val="24"/>
            <w:szCs w:val="24"/>
          </w:rPr>
          <w:t>artigo 12 da Lei n° 8.429, de 1992</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erificar se houve fraude por parte das empresas apontadas no Relatório de Ocorrências Impeditivas Indiretas. (</w:t>
      </w:r>
      <w:hyperlink r:id="rId33" w:anchor="art29" w:history="1">
        <w:r>
          <w:rPr>
            <w:rStyle w:val="Hyperlink"/>
            <w:rFonts w:ascii="Times New Roman" w:hAnsi="Times New Roman" w:cs="Times New Roman"/>
            <w:sz w:val="24"/>
            <w:szCs w:val="24"/>
          </w:rPr>
          <w:t xml:space="preserve">IN nº 3/2018, art. 29, </w:t>
        </w:r>
        <w:r>
          <w:rPr>
            <w:rStyle w:val="Hyperlink"/>
            <w:rFonts w:ascii="Times New Roman" w:hAnsi="Times New Roman" w:cs="Times New Roman"/>
            <w:i/>
            <w:iCs/>
            <w:sz w:val="24"/>
            <w:szCs w:val="24"/>
          </w:rPr>
          <w:t>caput</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tentativa de burla será verificada por meio dos vínculos societários, linhas de fornecimento similares, dentre outros. (</w:t>
      </w:r>
      <w:hyperlink r:id="rId34" w:history="1">
        <w:r>
          <w:rPr>
            <w:rStyle w:val="Hyperlink"/>
            <w:rFonts w:ascii="Times New Roman" w:hAnsi="Times New Roman" w:cs="Times New Roman"/>
            <w:sz w:val="24"/>
            <w:szCs w:val="24"/>
          </w:rPr>
          <w:t>IN nº 3/2018, art. 29, §1º</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licitante será convocado para manifestação previamente a uma eventual desclassificação. (</w:t>
      </w:r>
      <w:hyperlink r:id="rId35" w:history="1">
        <w:r>
          <w:rPr>
            <w:rStyle w:val="Hyperlink"/>
            <w:rFonts w:ascii="Times New Roman" w:hAnsi="Times New Roman" w:cs="Times New Roman"/>
            <w:sz w:val="24"/>
            <w:szCs w:val="24"/>
          </w:rPr>
          <w:t>IN nº 3/2018, art. 29, §2º</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Constatada a existência de sanção, o licitante será reputado inabilitado, por falta de condição de participação.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Na hipótese de inversão das fases de habilitação e julgamento, caso atendidas as condições de participação, será iniciado o procedimento de habilitação.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_Ref117015508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3.5.1</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_Ref117000019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4.6</w:t>
      </w:r>
      <w:r>
        <w:rPr>
          <w:rFonts w:ascii="Times New Roman" w:hAnsi="Times New Roman" w:cs="Times New Roman"/>
          <w:sz w:val="24"/>
          <w:szCs w:val="24"/>
        </w:rPr>
        <w:fldChar w:fldCharType="end"/>
      </w:r>
      <w:r>
        <w:rPr>
          <w:rFonts w:ascii="Times New Roman" w:hAnsi="Times New Roman" w:cs="Times New Roman"/>
          <w:sz w:val="24"/>
          <w:szCs w:val="24"/>
        </w:rPr>
        <w:t xml:space="preserve"> deste edital.</w:t>
      </w:r>
    </w:p>
    <w:p>
      <w:pPr>
        <w:pStyle w:val="Nivel2"/>
        <w:spacing w:before="0" w:after="0"/>
        <w:rPr>
          <w:rFonts w:ascii="Times New Roman" w:hAnsi="Times New Roman" w:cs="Times New Roman"/>
          <w:b/>
          <w:sz w:val="24"/>
          <w:szCs w:val="24"/>
        </w:rPr>
      </w:pPr>
      <w:r>
        <w:rPr>
          <w:rFonts w:ascii="Times New Roman" w:hAnsi="Times New Roman" w:cs="Times New Roman"/>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pPr>
        <w:pStyle w:val="Nivel2"/>
        <w:spacing w:before="0" w:after="0"/>
        <w:rPr>
          <w:rFonts w:ascii="Times New Roman" w:hAnsi="Times New Roman" w:cs="Times New Roman"/>
          <w:b/>
          <w:sz w:val="24"/>
          <w:szCs w:val="24"/>
        </w:rPr>
      </w:pPr>
      <w:r>
        <w:rPr>
          <w:rFonts w:ascii="Times New Roman" w:hAnsi="Times New Roman" w:cs="Times New Roman"/>
          <w:sz w:val="24"/>
          <w:szCs w:val="24"/>
        </w:rPr>
        <w:t xml:space="preserve">Será desclassificada a proposta vencedora que: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contiver vícios insanáveis;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não obedecer às especificações técnicas contidas no Termo de Referência;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apresentar preços inexequíveis ou permanecerem acima do preço máximo definido para a contratação;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não tiverem sua exequibilidade demonstrada, quando exigido pela Administração;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apresentar desconformidade com quaisquer outras exigências deste Edital ou seus anexos, desde que insanável.</w:t>
      </w:r>
    </w:p>
    <w:p>
      <w:pPr>
        <w:pStyle w:val="Nivel2"/>
        <w:spacing w:before="0" w:after="0"/>
        <w:rPr>
          <w:rFonts w:ascii="Times New Roman" w:hAnsi="Times New Roman" w:cs="Times New Roman"/>
          <w:b/>
          <w:bCs/>
          <w:sz w:val="24"/>
          <w:szCs w:val="24"/>
        </w:rPr>
      </w:pPr>
      <w:r>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A inexequibilidade, na hipótese de que trata o </w:t>
      </w:r>
      <w:r>
        <w:rPr>
          <w:rFonts w:ascii="Times New Roman" w:hAnsi="Times New Roman" w:cs="Times New Roman"/>
          <w:b/>
          <w:bCs/>
          <w:sz w:val="24"/>
          <w:szCs w:val="24"/>
        </w:rPr>
        <w:t>caput</w:t>
      </w:r>
      <w:r>
        <w:rPr>
          <w:rFonts w:ascii="Times New Roman" w:hAnsi="Times New Roman" w:cs="Times New Roman"/>
          <w:sz w:val="24"/>
          <w:szCs w:val="24"/>
        </w:rPr>
        <w:t>, só será considerada após diligência do pregoeiro, que comprove:</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que o custo do licitante ultrapassa o valor da proposta; e</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inexistirem custos de oportunidade capazes de justificar o vulto da oferta.</w:t>
      </w:r>
    </w:p>
    <w:p>
      <w:pPr>
        <w:pStyle w:val="Nivel2"/>
        <w:spacing w:before="0" w:after="0"/>
        <w:rPr>
          <w:rFonts w:ascii="Times New Roman" w:hAnsi="Times New Roman" w:cs="Times New Roman"/>
          <w:b/>
          <w:bCs/>
          <w:sz w:val="24"/>
          <w:szCs w:val="24"/>
        </w:rPr>
      </w:pPr>
      <w:r>
        <w:rPr>
          <w:rFonts w:ascii="Times New Roman" w:hAnsi="Times New Roman" w:cs="Times New Roman"/>
          <w:sz w:val="24"/>
          <w:szCs w:val="24"/>
        </w:rPr>
        <w:t>Em contratação de serviços de engenharia, além das disposições acima, a análise de exequibilidade e sobrepreço considerará o seguinte:</w:t>
      </w:r>
    </w:p>
    <w:p>
      <w:pPr>
        <w:pStyle w:val="Nivel3"/>
        <w:spacing w:before="0" w:after="0"/>
        <w:ind w:left="284"/>
        <w:rPr>
          <w:rFonts w:ascii="Times New Roman" w:hAnsi="Times New Roman" w:cs="Times New Roman"/>
          <w:b/>
          <w:sz w:val="24"/>
          <w:szCs w:val="24"/>
        </w:rPr>
      </w:pPr>
      <w:r>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pPr>
        <w:pStyle w:val="Nivel3"/>
        <w:spacing w:before="0" w:after="0"/>
        <w:ind w:left="284"/>
        <w:rPr>
          <w:rFonts w:ascii="Times New Roman" w:hAnsi="Times New Roman" w:cs="Times New Roman"/>
          <w:b/>
          <w:sz w:val="24"/>
          <w:szCs w:val="24"/>
        </w:rPr>
      </w:pPr>
      <w:r>
        <w:rPr>
          <w:rFonts w:ascii="Times New Roman" w:hAnsi="Times New Roman" w:cs="Times New Roman"/>
          <w:sz w:val="24"/>
          <w:szCs w:val="24"/>
        </w:rPr>
        <w:t xml:space="preserve">No regime de empreitada por preço unitário, a caracterização do sobrepreço se dará pela superação do valor global estimado e </w:t>
      </w:r>
      <w:r>
        <w:rPr>
          <w:rFonts w:ascii="Times New Roman" w:hAnsi="Times New Roman" w:cs="Times New Roman"/>
          <w:iCs/>
          <w:color w:val="auto"/>
          <w:sz w:val="24"/>
          <w:szCs w:val="24"/>
        </w:rPr>
        <w:t>pela superação de custo unitário tido como relevante, conforme planilha anexa ao edital;</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Pr>
          <w:rFonts w:ascii="Times New Roman" w:hAnsi="Times New Roman" w:cs="Times New Roman"/>
          <w:sz w:val="24"/>
          <w:szCs w:val="24"/>
        </w:rPr>
        <w:lastRenderedPageBreak/>
        <w:t>Planilha por ele elaborada, com os respectivos valores adequados ao valor final da sua proposta, sob pena de não aceitação da proposta.</w:t>
      </w:r>
    </w:p>
    <w:p>
      <w:pPr>
        <w:pStyle w:val="Nivel3"/>
        <w:spacing w:before="0" w:after="0"/>
        <w:ind w:left="284"/>
        <w:rPr>
          <w:rFonts w:ascii="Times New Roman" w:hAnsi="Times New Roman" w:cs="Times New Roman"/>
          <w:b/>
          <w:bCs/>
          <w:sz w:val="24"/>
          <w:szCs w:val="24"/>
        </w:rPr>
      </w:pPr>
      <w:r>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spacing w:before="0" w:after="0"/>
        <w:rPr>
          <w:rFonts w:ascii="Times New Roman" w:hAnsi="Times New Roman" w:cs="Times New Roman"/>
          <w:b/>
          <w:sz w:val="24"/>
          <w:szCs w:val="24"/>
        </w:rPr>
      </w:pPr>
      <w:r>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ajuste de que trata este dispositivo se limita a sanar erros ou falhas que não alterem a substância das propostas;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pPr>
        <w:pStyle w:val="Nivel3"/>
        <w:numPr>
          <w:ilvl w:val="0"/>
          <w:numId w:val="0"/>
        </w:numPr>
        <w:spacing w:before="0" w:after="0"/>
        <w:ind w:left="284"/>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FASE DE HABILITAÇÃO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Pr>
            <w:rStyle w:val="Hyperlink"/>
            <w:rFonts w:ascii="Times New Roman" w:hAnsi="Times New Roman" w:cs="Times New Roman"/>
            <w:sz w:val="24"/>
            <w:szCs w:val="24"/>
          </w:rPr>
          <w:t>arts. 62 a 70 da Lei nº 14.133, de 2021</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i/>
          <w:iCs/>
          <w:sz w:val="24"/>
          <w:szCs w:val="24"/>
        </w:rPr>
      </w:pPr>
      <w:r>
        <w:rPr>
          <w:rFonts w:ascii="Times New Roman" w:hAnsi="Times New Roman" w:cs="Times New Roman"/>
          <w:sz w:val="24"/>
          <w:szCs w:val="24"/>
        </w:rPr>
        <w:t xml:space="preserve">A documentação exigida para fins de habilitação jurídica, fiscal, social e trabalhista e econômico-ﬁnanceira, </w:t>
      </w:r>
      <w:r>
        <w:rPr>
          <w:rFonts w:ascii="Times New Roman" w:hAnsi="Times New Roman" w:cs="Times New Roman"/>
          <w:color w:val="auto"/>
          <w:sz w:val="24"/>
          <w:szCs w:val="24"/>
        </w:rPr>
        <w:t xml:space="preserve">poderá </w:t>
      </w:r>
      <w:r>
        <w:rPr>
          <w:rFonts w:ascii="Times New Roman" w:hAnsi="Times New Roman" w:cs="Times New Roman"/>
          <w:sz w:val="24"/>
          <w:szCs w:val="24"/>
        </w:rPr>
        <w:t>ser substituída pelo registro cadastral no SICAF.</w:t>
      </w:r>
    </w:p>
    <w:p>
      <w:pPr>
        <w:pStyle w:val="Nivel2"/>
        <w:spacing w:before="0" w:after="0"/>
        <w:rPr>
          <w:rFonts w:ascii="Times New Roman" w:hAnsi="Times New Roman" w:cs="Times New Roman"/>
          <w:i/>
          <w:sz w:val="24"/>
          <w:szCs w:val="24"/>
        </w:rPr>
      </w:pPr>
      <w:r>
        <w:rPr>
          <w:rFonts w:ascii="Times New Roman" w:hAnsi="Times New Roman" w:cs="Times New Roman"/>
          <w:color w:val="auto"/>
          <w:sz w:val="24"/>
          <w:szCs w:val="24"/>
        </w:rPr>
        <w:t xml:space="preserve">Quando </w:t>
      </w:r>
      <w:r>
        <w:rPr>
          <w:rFonts w:ascii="Times New Roman" w:hAnsi="Times New Roman" w:cs="Times New Roman"/>
          <w:sz w:val="24"/>
          <w:szCs w:val="24"/>
        </w:rPr>
        <w:t>permitida</w:t>
      </w:r>
      <w:r>
        <w:rPr>
          <w:rFonts w:ascii="Times New Roman" w:hAnsi="Times New Roman" w:cs="Times New Roman"/>
          <w:color w:val="auto"/>
          <w:sz w:val="24"/>
          <w:szCs w:val="24"/>
        </w:rPr>
        <w:t xml:space="preserve"> a </w:t>
      </w:r>
      <w:r>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pPr>
        <w:pStyle w:val="Nivel2"/>
        <w:spacing w:before="0" w:after="0"/>
        <w:rPr>
          <w:rFonts w:ascii="Times New Roman" w:hAnsi="Times New Roman" w:cs="Times New Roman"/>
          <w:i/>
          <w:iCs/>
          <w:sz w:val="24"/>
          <w:szCs w:val="24"/>
        </w:rPr>
      </w:pPr>
      <w:r>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Pr>
            <w:rStyle w:val="Hyperlink"/>
            <w:rFonts w:ascii="Times New Roman" w:hAnsi="Times New Roman" w:cs="Times New Roman"/>
            <w:sz w:val="24"/>
            <w:szCs w:val="24"/>
          </w:rPr>
          <w:t>Decreto nº 8.660, de 29 de janeiro de 2016</w:t>
        </w:r>
      </w:hyperlink>
      <w:r>
        <w:rPr>
          <w:rFonts w:ascii="Times New Roman" w:hAnsi="Times New Roman" w:cs="Times New Roman"/>
          <w:sz w:val="24"/>
          <w:szCs w:val="24"/>
        </w:rPr>
        <w:t>, ou de outro que venha a substituí-lo, ou consularizados pelos respectivos consulados ou embaixadas.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documentos exigidos para fins de habilitação poderão ser apresentados em original ou por cópia.</w:t>
      </w:r>
    </w:p>
    <w:p>
      <w:pPr>
        <w:pStyle w:val="Nivel2"/>
        <w:spacing w:before="0" w:after="0"/>
        <w:rPr>
          <w:rFonts w:ascii="Times New Roman" w:hAnsi="Times New Roman" w:cs="Times New Roman"/>
          <w:i/>
          <w:sz w:val="24"/>
          <w:szCs w:val="24"/>
        </w:rPr>
      </w:pPr>
      <w:r>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Será verificado se o licitante apresentou declaração de que atende aos requisitos de habilitação, e o declarante responderá pela veracidade das informações prestadas, na forma da lei (</w:t>
      </w:r>
      <w:hyperlink r:id="rId38" w:anchor="art63">
        <w:r>
          <w:rPr>
            <w:rStyle w:val="Hyperlink"/>
            <w:rFonts w:ascii="Times New Roman" w:hAnsi="Times New Roman" w:cs="Times New Roman"/>
            <w:sz w:val="24"/>
            <w:szCs w:val="24"/>
          </w:rPr>
          <w:t>art. 63, I, da Lei nº 14.133/2021</w:t>
        </w:r>
      </w:hyperlink>
      <w:r>
        <w:rPr>
          <w:rFonts w:ascii="Times New Roman" w:hAnsi="Times New Roman" w:cs="Times New Roman"/>
          <w:sz w:val="24"/>
          <w:szCs w:val="24"/>
        </w:rPr>
        <w:t>).</w:t>
      </w:r>
    </w:p>
    <w:p>
      <w:pPr>
        <w:pStyle w:val="Nivel2"/>
        <w:spacing w:before="0" w:after="0"/>
        <w:rPr>
          <w:rFonts w:ascii="Times New Roman" w:hAnsi="Times New Roman" w:cs="Times New Roman"/>
          <w:i/>
          <w:sz w:val="24"/>
          <w:szCs w:val="24"/>
        </w:rPr>
      </w:pPr>
      <w:r>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spacing w:before="0" w:after="0"/>
        <w:rPr>
          <w:rFonts w:ascii="Times New Roman" w:hAnsi="Times New Roman" w:cs="Times New Roman"/>
          <w:i/>
          <w:sz w:val="24"/>
          <w:szCs w:val="24"/>
        </w:rPr>
      </w:pPr>
      <w:r>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spacing w:before="0" w:after="0"/>
        <w:rPr>
          <w:rFonts w:ascii="Times New Roman" w:hAnsi="Times New Roman" w:cs="Times New Roman"/>
          <w:i/>
          <w:sz w:val="24"/>
          <w:szCs w:val="24"/>
        </w:rPr>
      </w:pPr>
      <w:r>
        <w:rPr>
          <w:rFonts w:ascii="Times New Roman" w:hAnsi="Times New Roman" w:cs="Times New Roman"/>
          <w:sz w:val="24"/>
          <w:szCs w:val="24"/>
        </w:rPr>
        <w:t>A habilitação será verificada por meio do Sicaf, nos documentos por ele abrangidos.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Pr>
            <w:rStyle w:val="Hyperlink"/>
            <w:rFonts w:ascii="Times New Roman" w:hAnsi="Times New Roman" w:cs="Times New Roman"/>
            <w:sz w:val="24"/>
            <w:szCs w:val="24"/>
          </w:rPr>
          <w:t>IN nº 3/2018, art. 4º, §1º, e art. 6º, §4º</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Pr>
            <w:rStyle w:val="Hyperlink"/>
            <w:rFonts w:ascii="Times New Roman" w:hAnsi="Times New Roman" w:cs="Times New Roman"/>
            <w:sz w:val="24"/>
            <w:szCs w:val="24"/>
          </w:rPr>
          <w:t xml:space="preserve">IN nº 3/2018, art. 7º, </w:t>
        </w:r>
        <w:r>
          <w:rPr>
            <w:rStyle w:val="Hyperlink"/>
            <w:rFonts w:ascii="Times New Roman" w:hAnsi="Times New Roman" w:cs="Times New Roman"/>
            <w:i/>
            <w:iCs/>
            <w:sz w:val="24"/>
            <w:szCs w:val="24"/>
          </w:rPr>
          <w:t>caput</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não observância do disposto no item anterior poderá ensejar desclassificação no momento da habilitação. (</w:t>
      </w:r>
      <w:hyperlink r:id="rId41" w:history="1">
        <w:r>
          <w:rPr>
            <w:rStyle w:val="Hyperlink"/>
            <w:rFonts w:ascii="Times New Roman" w:hAnsi="Times New Roman" w:cs="Times New Roman"/>
            <w:sz w:val="24"/>
            <w:szCs w:val="24"/>
          </w:rPr>
          <w:t>IN nº 3/2018, art. 7º, parágrafo único</w:t>
        </w:r>
      </w:hyperlink>
      <w:r>
        <w:rPr>
          <w:rFonts w:ascii="Times New Roman" w:hAnsi="Times New Roman" w:cs="Times New Roman"/>
          <w:sz w:val="24"/>
          <w:szCs w:val="24"/>
        </w:rPr>
        <w:t>).</w:t>
      </w:r>
    </w:p>
    <w:p>
      <w:pPr>
        <w:pStyle w:val="Nivel2"/>
        <w:spacing w:before="0" w:after="0"/>
        <w:rPr>
          <w:rFonts w:ascii="Times New Roman" w:hAnsi="Times New Roman" w:cs="Times New Roman"/>
          <w:i/>
          <w:iCs/>
          <w:sz w:val="24"/>
          <w:szCs w:val="24"/>
        </w:rPr>
      </w:pPr>
      <w:r>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pPr>
        <w:pStyle w:val="Nivel3"/>
        <w:spacing w:before="0" w:after="0"/>
        <w:ind w:left="284"/>
        <w:rPr>
          <w:rFonts w:ascii="Times New Roman" w:hAnsi="Times New Roman" w:cs="Times New Roman"/>
          <w:i/>
          <w:iCs/>
          <w:sz w:val="24"/>
          <w:szCs w:val="24"/>
        </w:rPr>
      </w:pPr>
      <w:r>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Pr>
          <w:rFonts w:ascii="Times New Roman" w:hAnsi="Times New Roman" w:cs="Times New Roman"/>
          <w:b/>
          <w:color w:val="auto"/>
          <w:sz w:val="24"/>
          <w:szCs w:val="24"/>
        </w:rPr>
        <w:t>3 (três) horas</w:t>
      </w:r>
      <w:r>
        <w:rPr>
          <w:rFonts w:ascii="Times New Roman" w:hAnsi="Times New Roman" w:cs="Times New Roman"/>
          <w:sz w:val="24"/>
          <w:szCs w:val="24"/>
        </w:rPr>
        <w:t>, prorrogável por igual período, contado da solicitação do pregoeiro.</w:t>
      </w:r>
    </w:p>
    <w:p>
      <w:pPr>
        <w:pStyle w:val="Nivel3"/>
        <w:spacing w:before="0" w:after="0"/>
        <w:ind w:left="284"/>
        <w:rPr>
          <w:rFonts w:ascii="Times New Roman" w:hAnsi="Times New Roman" w:cs="Times New Roman"/>
          <w:i/>
          <w:iCs/>
          <w:sz w:val="24"/>
          <w:szCs w:val="24"/>
        </w:rPr>
      </w:pPr>
      <w:r>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Pr>
            <w:rStyle w:val="Hyperlink"/>
            <w:rFonts w:ascii="Times New Roman" w:hAnsi="Times New Roman" w:cs="Times New Roman"/>
            <w:sz w:val="24"/>
            <w:szCs w:val="24"/>
          </w:rPr>
          <w:t xml:space="preserve">§ 1º do art. 36 e no § 1º do art. 39 da </w:t>
        </w:r>
        <w:r>
          <w:rPr>
            <w:rStyle w:val="Hyperlink"/>
            <w:rFonts w:ascii="Times New Roman" w:hAnsi="Times New Roman" w:cs="Times New Roman"/>
            <w:iCs/>
            <w:sz w:val="24"/>
            <w:szCs w:val="24"/>
          </w:rPr>
          <w:t>Instrução Normativa SEGES nº 73, de 30 de setembro de 2022</w:t>
        </w:r>
        <w:r>
          <w:rPr>
            <w:rStyle w:val="Hyperlink"/>
            <w:rFonts w:ascii="Times New Roman" w:hAnsi="Times New Roman" w:cs="Times New Roman"/>
            <w:sz w:val="24"/>
            <w:szCs w:val="24"/>
          </w:rPr>
          <w:t>.</w:t>
        </w:r>
      </w:hyperlink>
    </w:p>
    <w:p>
      <w:pPr>
        <w:pStyle w:val="Nivel2"/>
        <w:spacing w:before="0" w:after="0"/>
        <w:rPr>
          <w:rFonts w:ascii="Times New Roman" w:hAnsi="Times New Roman" w:cs="Times New Roman"/>
          <w:i/>
          <w:sz w:val="24"/>
          <w:szCs w:val="24"/>
        </w:rPr>
      </w:pPr>
      <w:r>
        <w:rPr>
          <w:rFonts w:ascii="Times New Roman" w:hAnsi="Times New Roman" w:cs="Times New Roman"/>
          <w:sz w:val="24"/>
          <w:szCs w:val="24"/>
        </w:rPr>
        <w:t>A verificação no Sicaf ou a exigência dos documentos nele não contidos somente será feita em relação ao licitante vencedor.</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spacing w:before="0" w:after="0"/>
        <w:rPr>
          <w:rFonts w:ascii="Times New Roman" w:hAnsi="Times New Roman" w:cs="Times New Roman"/>
          <w:i/>
          <w:sz w:val="24"/>
          <w:szCs w:val="24"/>
        </w:rPr>
      </w:pPr>
      <w:r>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43" w:anchor="art64">
        <w:r>
          <w:rPr>
            <w:rStyle w:val="Hyperlink"/>
            <w:rFonts w:ascii="Times New Roman" w:hAnsi="Times New Roman" w:cs="Times New Roman"/>
            <w:sz w:val="24"/>
            <w:szCs w:val="24"/>
          </w:rPr>
          <w:t>Lei 14.133/21, art. 64</w:t>
        </w:r>
      </w:hyperlink>
      <w:r>
        <w:rPr>
          <w:rFonts w:ascii="Times New Roman" w:hAnsi="Times New Roman" w:cs="Times New Roman"/>
          <w:sz w:val="24"/>
          <w:szCs w:val="24"/>
        </w:rPr>
        <w:t xml:space="preserve">, e </w:t>
      </w:r>
      <w:hyperlink r:id="rId44">
        <w:r>
          <w:rPr>
            <w:rStyle w:val="Hyperlink"/>
            <w:rFonts w:ascii="Times New Roman" w:hAnsi="Times New Roman" w:cs="Times New Roman"/>
            <w:sz w:val="24"/>
            <w:szCs w:val="24"/>
          </w:rPr>
          <w:t>IN 73/2022, art. 39, §4º</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atualização de documentos cuja validade tenha expirado após a data de recebimento das propostas;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_Ref114663151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7.11.1</w:t>
      </w:r>
      <w:r>
        <w:rPr>
          <w:rFonts w:ascii="Times New Roman" w:hAnsi="Times New Roman" w:cs="Times New Roman"/>
          <w:sz w:val="24"/>
          <w:szCs w:val="24"/>
        </w:rPr>
        <w:fldChar w:fldCharType="end"/>
      </w:r>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5" w:anchor="art4">
        <w:r>
          <w:rPr>
            <w:rStyle w:val="Hyperlink"/>
            <w:rFonts w:ascii="Times New Roman" w:hAnsi="Times New Roman" w:cs="Times New Roman"/>
            <w:color w:val="000000"/>
            <w:sz w:val="24"/>
            <w:szCs w:val="24"/>
          </w:rPr>
          <w:t>art. 4º do Decreto nº 8.538/2015</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DOS RECURSOS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rFonts w:ascii="Times New Roman" w:hAnsi="Times New Roman" w:cs="Times New Roman"/>
            <w:color w:val="000000"/>
            <w:sz w:val="24"/>
            <w:szCs w:val="24"/>
          </w:rPr>
          <w:t>art. 165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prazo recursal é de 3 (três) dias úteis, contados da data de intimação ou de lavratura da ata.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Quando o recurso apresentado impugnar o julgamento das propostas ou o ato de habilitação ou inabilitação do licitante: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intenção de recorrer deverá ser manifestada imediatamente, sob pena de preclusão;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prazo para a manifestação da intenção de recorrer não será inferior a 10 (dez) minutos.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prazo para apresentação das razões recursais será iniciado na data de intimação ou de lavratura da ata de habilitação ou inabilitação;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lastRenderedPageBreak/>
        <w:t>na hipótese de adoção da inversão de fases prevista no </w:t>
      </w:r>
      <w:hyperlink r:id="rId47" w:anchor="art17§1" w:history="1">
        <w:r>
          <w:rPr>
            <w:rStyle w:val="Hyperlink"/>
            <w:rFonts w:ascii="Times New Roman" w:hAnsi="Times New Roman" w:cs="Times New Roman"/>
            <w:color w:val="000000"/>
            <w:sz w:val="24"/>
            <w:szCs w:val="24"/>
          </w:rPr>
          <w:t>§ 1º do art. 17 da Lei nº 14.133, de 2021</w:t>
        </w:r>
      </w:hyperlink>
      <w:r>
        <w:rPr>
          <w:rFonts w:ascii="Times New Roman" w:hAnsi="Times New Roman" w:cs="Times New Roman"/>
          <w:sz w:val="24"/>
          <w:szCs w:val="24"/>
        </w:rPr>
        <w:t>, o prazo para apresentação das razões recursais será iniciado na data de intimação da ata de julgamento.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recursos deverão ser encaminhados em campo próprio do sistema.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Os recursos interpostos fora do prazo não serão conhecidos.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acolhimento do recurso invalida tão somente os atos insuscetíveis de aproveitamento.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autos do processo permanecerão com vista franqueada aos interessados.</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DAS INFRAÇÕES ADMINISTRATIVAS E SANÇÕES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Comete infração administrativa, nos termos da lei, o licitante que, com dolo ou culpa: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deixar de entregar a documentação exigida para o certame ou não entregar qualquer documento que tenha sido solicitado pelo/a pregoeiro/a durante o certame;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Salvo em decorrência de fato superveniente devidamente justificado, não mantiver a proposta em especial quando:</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não enviar a proposta adequada ao último lance ofertado ou após a negociação; </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recusar-se a enviar o detalhamento da proposta quando exigível; </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pedir para ser desclassificado quando encerrada a etapa competitiva; ou </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deixar de apresentar amostra;</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apresentar proposta ou amostra em desacordo com as especificações do edital;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não celebrar o contrato ou não entregar a documentação exigida para a contratação, quando convocado dentro do prazo de validade de sua proposta;</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apresentar declaração ou documentação falsa exigida para o certame ou prestar declaração falsa durante a licitação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fraudar a licitação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comportar-se de modo inidôneo ou cometer fraude de qualquer natureza, em especial quando:</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agir em conluio ou em desconformidade com a lei; </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 xml:space="preserve">induzir deliberadamente a erro no julgamento; </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lastRenderedPageBreak/>
        <w:t xml:space="preserve">apresentar amostra falsificada ou deteriorada;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praticar atos ilícitos com vistas a frustrar os objetivos da licitação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praticar ato lesivo previsto no </w:t>
      </w:r>
      <w:hyperlink r:id="rId48" w:anchor="art5" w:history="1">
        <w:r>
          <w:rPr>
            <w:rStyle w:val="Hyperlink"/>
            <w:rFonts w:ascii="Times New Roman" w:hAnsi="Times New Roman" w:cs="Times New Roman"/>
            <w:color w:val="000000"/>
            <w:sz w:val="24"/>
            <w:szCs w:val="24"/>
          </w:rPr>
          <w:t>art. 5º da Lei n.º 12.846, de 2013</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Com fulcro na </w:t>
      </w:r>
      <w:hyperlink r:id="rId49"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advertência; </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multa;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impedimento de licitar e contratar 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 aplicação das sanções serão considerados: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natureza e a gravidade da infração cometida.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as peculiaridades do caso concreto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as circunstâncias agravantes ou atenuantes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os danos que dela provierem para a Administração Pública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implantação ou o aperfeiçoamento de programa de integridade, conforme normas e orientações dos órgãos de controle.</w:t>
      </w:r>
    </w:p>
    <w:p>
      <w:pPr>
        <w:pStyle w:val="Nivel2"/>
        <w:spacing w:before="0" w:after="0"/>
        <w:rPr>
          <w:rFonts w:ascii="Times New Roman" w:hAnsi="Times New Roman" w:cs="Times New Roman"/>
          <w:color w:val="auto"/>
          <w:sz w:val="24"/>
          <w:szCs w:val="24"/>
        </w:rPr>
      </w:pPr>
      <w:r>
        <w:rPr>
          <w:rFonts w:ascii="Times New Roman" w:hAnsi="Times New Roman" w:cs="Times New Roman"/>
          <w:sz w:val="24"/>
          <w:szCs w:val="24"/>
        </w:rPr>
        <w:t xml:space="preserve">A multa será recolhida em percentual de 0,5% a 30% incidente sobre o valor do contrato licitado, </w:t>
      </w:r>
      <w:r>
        <w:rPr>
          <w:rFonts w:ascii="Times New Roman" w:hAnsi="Times New Roman" w:cs="Times New Roman"/>
          <w:color w:val="auto"/>
          <w:sz w:val="24"/>
          <w:szCs w:val="24"/>
        </w:rPr>
        <w:t xml:space="preserve">recolhida no prazo máximo de </w:t>
      </w:r>
      <w:r>
        <w:rPr>
          <w:rFonts w:ascii="Times New Roman" w:hAnsi="Times New Roman" w:cs="Times New Roman"/>
          <w:b/>
          <w:bCs/>
          <w:color w:val="auto"/>
          <w:sz w:val="24"/>
          <w:szCs w:val="24"/>
        </w:rPr>
        <w:t>30 (trinta) dias</w:t>
      </w:r>
      <w:r>
        <w:rPr>
          <w:rFonts w:ascii="Times New Roman" w:hAnsi="Times New Roman" w:cs="Times New Roman"/>
          <w:color w:val="auto"/>
          <w:sz w:val="24"/>
          <w:szCs w:val="24"/>
        </w:rPr>
        <w:t xml:space="preserve"> úteis, a contar da comunicação oficial. </w:t>
      </w:r>
    </w:p>
    <w:p>
      <w:pPr>
        <w:pStyle w:val="Nivel3"/>
        <w:spacing w:before="0" w:after="0"/>
        <w:ind w:left="284"/>
        <w:rPr>
          <w:rFonts w:ascii="Times New Roman" w:hAnsi="Times New Roman" w:cs="Times New Roman"/>
          <w:sz w:val="24"/>
          <w:szCs w:val="24"/>
        </w:rPr>
      </w:pPr>
      <w:r>
        <w:rPr>
          <w:rFonts w:ascii="Times New Roman" w:hAnsi="Times New Roman" w:cs="Times New Roman"/>
          <w:color w:val="auto"/>
          <w:sz w:val="24"/>
          <w:szCs w:val="24"/>
        </w:rPr>
        <w:t xml:space="preserve">Para as infrações previstas nos itens </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REF _Ref114668085 \r \h  \* MERGEFORMAT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9.1.1</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REF _Ref114668108 \r \h  \* MERGEFORMAT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9.1.2</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e </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REF _Ref114668139 \r \h  \* MERGEFORMAT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9.1.3</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a multa será de 0,5% a 15% </w:t>
      </w:r>
      <w:r>
        <w:rPr>
          <w:rFonts w:ascii="Times New Roman" w:hAnsi="Times New Roman" w:cs="Times New Roman"/>
          <w:sz w:val="24"/>
          <w:szCs w:val="24"/>
        </w:rPr>
        <w:t>do valor do contrato licitado.</w:t>
      </w:r>
    </w:p>
    <w:p>
      <w:pPr>
        <w:pStyle w:val="Nivel3"/>
        <w:spacing w:before="0" w:after="0"/>
        <w:ind w:left="284"/>
        <w:rPr>
          <w:rFonts w:ascii="Times New Roman" w:hAnsi="Times New Roman" w:cs="Times New Roman"/>
          <w:color w:val="auto"/>
          <w:sz w:val="24"/>
          <w:szCs w:val="24"/>
        </w:rPr>
      </w:pPr>
      <w:r>
        <w:rPr>
          <w:rFonts w:ascii="Times New Roman" w:hAnsi="Times New Roman" w:cs="Times New Roman"/>
          <w:sz w:val="24"/>
          <w:szCs w:val="24"/>
        </w:rPr>
        <w:t xml:space="preserve">Para as infrações previstas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9.1.4</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9.1.5</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9.1.6</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_Ref114668251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9.1.7</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_Ref114668252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9.1.8</w:t>
      </w:r>
      <w:r>
        <w:rPr>
          <w:rFonts w:ascii="Times New Roman" w:hAnsi="Times New Roman" w:cs="Times New Roman"/>
          <w:sz w:val="24"/>
          <w:szCs w:val="24"/>
        </w:rPr>
        <w:fldChar w:fldCharType="end"/>
      </w:r>
      <w:r>
        <w:rPr>
          <w:rFonts w:ascii="Times New Roman" w:hAnsi="Times New Roman" w:cs="Times New Roman"/>
          <w:sz w:val="24"/>
          <w:szCs w:val="24"/>
        </w:rPr>
        <w:t xml:space="preserve">, a multa será de </w:t>
      </w:r>
      <w:r>
        <w:rPr>
          <w:rFonts w:ascii="Times New Roman" w:hAnsi="Times New Roman" w:cs="Times New Roman"/>
          <w:color w:val="auto"/>
          <w:sz w:val="24"/>
          <w:szCs w:val="24"/>
        </w:rPr>
        <w:t>15% a 30% do valor do contrato licitado.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 aplicação da sanção de multa será facultada a defesa do interessado no prazo de 15 (quinze) dias úteis, contado da data de sua intimação.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_Ref114668085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_Ref114668108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9.1.2</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_Ref114668139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9.1.4</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9.1.5</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_Ref114668247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9.1.6</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_Ref114668251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9.1.7</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_Ref114668252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9.1.8</w:t>
      </w:r>
      <w:r>
        <w:rPr>
          <w:rFonts w:ascii="Times New Roman" w:hAnsi="Times New Roman" w:cs="Times New Roman"/>
          <w:sz w:val="24"/>
          <w:szCs w:val="24"/>
        </w:rPr>
        <w:fldChar w:fldCharType="end"/>
      </w:r>
      <w:r>
        <w:rPr>
          <w:rFonts w:ascii="Times New Roman" w:hAnsi="Times New Roman" w:cs="Times New Roman"/>
          <w:sz w:val="24"/>
          <w:szCs w:val="24"/>
        </w:rPr>
        <w:t xml:space="preserve">, bem como pelas infrações administrativas previstas nos itens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_Ref114668085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_Ref114668108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9.1.2</w:t>
      </w:r>
      <w:r>
        <w:rPr>
          <w:rFonts w:ascii="Times New Roman" w:hAnsi="Times New Roman" w:cs="Times New Roman"/>
          <w:sz w:val="24"/>
          <w:szCs w:val="24"/>
        </w:rPr>
        <w:fldChar w:fldCharType="end"/>
      </w:r>
      <w:r>
        <w:rPr>
          <w:rFonts w:ascii="Times New Roman" w:hAnsi="Times New Roman" w:cs="Times New Roman"/>
          <w:sz w:val="24"/>
          <w:szCs w:val="24"/>
        </w:rPr>
        <w:t xml:space="preserve"> 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_Ref114668139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50" w:anchor="art156§5" w:history="1">
        <w:r>
          <w:rPr>
            <w:rStyle w:val="Hyperlink"/>
            <w:rFonts w:ascii="Times New Roman" w:hAnsi="Times New Roman" w:cs="Times New Roman"/>
            <w:color w:val="000000"/>
            <w:sz w:val="24"/>
            <w:szCs w:val="24"/>
          </w:rPr>
          <w:t>art. 156, §5º, da Lei n.º 14.133/2021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_Ref114668139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Pr>
            <w:rStyle w:val="Hyperlink"/>
            <w:rFonts w:ascii="Times New Roman" w:hAnsi="Times New Roman" w:cs="Times New Roman"/>
            <w:color w:val="000000"/>
            <w:sz w:val="24"/>
            <w:szCs w:val="24"/>
          </w:rPr>
          <w:t>art. 45, §4º da IN SEGES/ME n.º 73, de 2022</w:t>
        </w:r>
      </w:hyperlink>
      <w:r>
        <w:rPr>
          <w:rFonts w:ascii="Times New Roman" w:hAnsi="Times New Roman" w:cs="Times New Roman"/>
          <w:sz w:val="24"/>
          <w:szCs w:val="24"/>
        </w:rPr>
        <w:t xml:space="preserve">.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recurso e o pedido de reconsideração terão efeito suspensivo do ato ou da decisão recorrida até que sobrevenha decisão final da autoridade competente.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aplicação das sanções previstas neste edital não exclui, em hipótese alguma, a obrigação de reparação integral dos danos causados.</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 IMPUGNAÇÃO AO EDITAL E DO PEDIDO DE ESCLARECIMENTO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Qualquer pessoa é parte legítima para impugnar este Edital por irregularidade na aplicação da </w:t>
      </w:r>
      <w:hyperlink r:id="rId52" w:history="1">
        <w:r>
          <w:rPr>
            <w:rStyle w:val="Hyperlink"/>
            <w:rFonts w:ascii="Times New Roman" w:hAnsi="Times New Roman" w:cs="Times New Roman"/>
            <w:color w:val="000000"/>
            <w:sz w:val="24"/>
            <w:szCs w:val="24"/>
          </w:rPr>
          <w:t>Lei nº 14.133, de 2021</w:t>
        </w:r>
      </w:hyperlink>
      <w:r>
        <w:rPr>
          <w:rFonts w:ascii="Times New Roman" w:hAnsi="Times New Roman" w:cs="Times New Roman"/>
          <w:sz w:val="24"/>
          <w:szCs w:val="24"/>
        </w:rPr>
        <w:t>, devendo protocolar o pedido até 3 (três) dias úteis antes da data da abertura do certame.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A impugnação e o pedido de esclarecimento poderão ser realizados por forma eletrônica, </w:t>
      </w:r>
      <w:r>
        <w:rPr>
          <w:rFonts w:ascii="Times New Roman" w:hAnsi="Times New Roman" w:cs="Times New Roman"/>
          <w:iCs/>
          <w:color w:val="auto"/>
          <w:sz w:val="24"/>
          <w:szCs w:val="24"/>
        </w:rPr>
        <w:t>pelo seguinte meio</w:t>
      </w:r>
      <w:r>
        <w:rPr>
          <w:rFonts w:ascii="Times New Roman" w:hAnsi="Times New Roman" w:cs="Times New Roman"/>
          <w:color w:val="auto"/>
          <w:sz w:val="24"/>
          <w:szCs w:val="24"/>
        </w:rPr>
        <w:t xml:space="preserve">: </w:t>
      </w:r>
      <w:hyperlink r:id="rId53" w:history="1">
        <w:r>
          <w:rPr>
            <w:rStyle w:val="Hyperlink"/>
            <w:rFonts w:ascii="Times New Roman" w:hAnsi="Times New Roman" w:cs="Times New Roman"/>
            <w:sz w:val="24"/>
            <w:szCs w:val="24"/>
          </w:rPr>
          <w:t>licitacao@miraima.ce.gov.br</w:t>
        </w:r>
      </w:hyperlink>
      <w:r>
        <w:rPr>
          <w:rFonts w:ascii="Times New Roman" w:hAnsi="Times New Roman" w:cs="Times New Roman"/>
          <w:color w:val="auto"/>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As impugnações e pedidos de esclarecimentos não suspendem os prazos previstos no certame.</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Acolhida a impugnação, será definida e publicada nova data para a realização do certame.</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rPr>
          <w:rFonts w:ascii="Times New Roman" w:hAnsi="Times New Roman" w:cs="Times New Roman"/>
          <w:sz w:val="24"/>
          <w:szCs w:val="24"/>
        </w:rPr>
      </w:pPr>
      <w:r>
        <w:rPr>
          <w:rFonts w:ascii="Times New Roman" w:hAnsi="Times New Roman" w:cs="Times New Roman"/>
          <w:sz w:val="24"/>
          <w:szCs w:val="24"/>
        </w:rPr>
        <w:t>DAS DISPOSIÇÕES GERAIS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Será divulgada ata da sessão pública no sistema eletrônico.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Todas as referências de tempo no Edital, no aviso e durante a sessão pública observarão o horário de Brasília - DF.</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homologação do resultado desta licitação não implicará direito à contratação.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Em caso de divergência entre as disposições do sistema compras.gov e este Edital e de seus anexos, prevalecerá as deste Edital e seus anexos.</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 xml:space="preserve">O Edital e seus anexos estão disponíveis, na íntegra, no Portal Nacional de Contratações Públicas (PNCP), no </w:t>
      </w:r>
      <w:r>
        <w:rPr>
          <w:rStyle w:val="Hyperlink"/>
          <w:rFonts w:ascii="Times New Roman" w:hAnsi="Times New Roman" w:cs="Times New Roman"/>
          <w:color w:val="auto"/>
          <w:sz w:val="24"/>
          <w:szCs w:val="24"/>
          <w:u w:val="none"/>
        </w:rPr>
        <w:t>site da Prefeitura Municipal de Miraíma - CE:</w:t>
      </w:r>
      <w:r>
        <w:rPr>
          <w:rStyle w:val="Hyperlink"/>
          <w:rFonts w:ascii="Times New Roman" w:hAnsi="Times New Roman" w:cs="Times New Roman"/>
          <w:sz w:val="24"/>
          <w:szCs w:val="24"/>
          <w:u w:val="none"/>
        </w:rPr>
        <w:t xml:space="preserve"> </w:t>
      </w:r>
      <w:r>
        <w:rPr>
          <w:rStyle w:val="Hyperlink"/>
          <w:rFonts w:ascii="Times New Roman" w:hAnsi="Times New Roman" w:cs="Times New Roman"/>
          <w:sz w:val="24"/>
          <w:szCs w:val="24"/>
        </w:rPr>
        <w:t>https://www.miraima.ce.gov.br</w:t>
      </w:r>
      <w:r>
        <w:rPr>
          <w:rStyle w:val="Hyperlink"/>
          <w:rFonts w:ascii="Times New Roman" w:hAnsi="Times New Roman" w:cs="Times New Roman"/>
          <w:color w:val="auto"/>
          <w:sz w:val="24"/>
          <w:szCs w:val="24"/>
          <w:u w:val="none"/>
        </w:rPr>
        <w:t>, no site do TCE/CE:</w:t>
      </w:r>
      <w:r>
        <w:rPr>
          <w:rStyle w:val="Hyperlink"/>
          <w:rFonts w:ascii="Times New Roman" w:hAnsi="Times New Roman" w:cs="Times New Roman"/>
          <w:sz w:val="24"/>
          <w:szCs w:val="24"/>
        </w:rPr>
        <w:t xml:space="preserve"> https://licitacoes.tce.ce.gov.br</w:t>
      </w:r>
      <w:r>
        <w:rPr>
          <w:rFonts w:ascii="Times New Roman" w:hAnsi="Times New Roman" w:cs="Times New Roman"/>
          <w:sz w:val="24"/>
          <w:szCs w:val="24"/>
        </w:rPr>
        <w:t xml:space="preserve"> e no portal gov.br - </w:t>
      </w:r>
      <w:hyperlink r:id="rId54" w:history="1">
        <w:r>
          <w:rPr>
            <w:rStyle w:val="Hyperlink"/>
            <w:rFonts w:ascii="Times New Roman" w:hAnsi="Times New Roman" w:cs="Times New Roman"/>
            <w:sz w:val="24"/>
            <w:szCs w:val="24"/>
          </w:rPr>
          <w:t>https://www.gov.br/compras/pt-br/</w:t>
        </w:r>
      </w:hyperlink>
      <w:r>
        <w:rPr>
          <w:rFonts w:ascii="Times New Roman" w:hAnsi="Times New Roman" w:cs="Times New Roman"/>
          <w:sz w:val="24"/>
          <w:szCs w:val="24"/>
        </w:rPr>
        <w:t>.</w:t>
      </w:r>
    </w:p>
    <w:p>
      <w:pPr>
        <w:pStyle w:val="Nivel2"/>
        <w:spacing w:before="0" w:after="0"/>
        <w:rPr>
          <w:rFonts w:ascii="Times New Roman" w:eastAsia="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ANEXO I - Termo de Referência</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Apêndice do Anexo I – Estudo Técnico Preliminar</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ANEXO II – Minuta de Termo de Contrato</w:t>
      </w:r>
    </w:p>
    <w:p>
      <w:pPr>
        <w:spacing w:line="276" w:lineRule="auto"/>
        <w:rPr>
          <w:rFonts w:eastAsia="MS Mincho"/>
          <w:color w:val="000000"/>
          <w:sz w:val="24"/>
          <w:szCs w:val="24"/>
        </w:rPr>
      </w:pPr>
    </w:p>
    <w:p>
      <w:pPr>
        <w:spacing w:line="276" w:lineRule="auto"/>
        <w:jc w:val="center"/>
        <w:rPr>
          <w:rFonts w:eastAsia="MS Mincho"/>
          <w:color w:val="000000"/>
          <w:sz w:val="24"/>
          <w:szCs w:val="24"/>
        </w:rPr>
      </w:pPr>
      <w:r>
        <w:rPr>
          <w:rFonts w:eastAsia="MS Mincho"/>
          <w:color w:val="000000"/>
          <w:sz w:val="24"/>
          <w:szCs w:val="24"/>
        </w:rPr>
        <w:t>Miraíma-CE, 29 de Janeiro de 2025.</w:t>
      </w:r>
    </w:p>
    <w:p>
      <w:pPr>
        <w:spacing w:line="276" w:lineRule="auto"/>
        <w:jc w:val="center"/>
        <w:rPr>
          <w:rFonts w:eastAsia="MS Mincho"/>
          <w:color w:val="000000"/>
          <w:sz w:val="24"/>
          <w:szCs w:val="24"/>
        </w:rPr>
      </w:pPr>
    </w:p>
    <w:p>
      <w:pPr>
        <w:spacing w:line="276" w:lineRule="auto"/>
        <w:jc w:val="center"/>
        <w:rPr>
          <w:rFonts w:eastAsia="MS Mincho"/>
          <w:color w:val="000000"/>
          <w:sz w:val="24"/>
          <w:szCs w:val="24"/>
        </w:rPr>
      </w:pPr>
    </w:p>
    <w:p>
      <w:pPr>
        <w:spacing w:line="276" w:lineRule="auto"/>
        <w:ind w:firstLine="567"/>
        <w:rPr>
          <w:rFonts w:eastAsia="MS Mincho"/>
          <w:color w:val="000000"/>
          <w:sz w:val="24"/>
          <w:szCs w:val="24"/>
        </w:rPr>
      </w:pPr>
    </w:p>
    <w:p>
      <w:pPr>
        <w:spacing w:line="276" w:lineRule="auto"/>
        <w:jc w:val="center"/>
        <w:rPr>
          <w:rFonts w:eastAsia="MS Mincho"/>
          <w:b/>
          <w:sz w:val="24"/>
          <w:szCs w:val="24"/>
        </w:rPr>
      </w:pPr>
      <w:r>
        <w:rPr>
          <w:rFonts w:eastAsia="MS Mincho"/>
          <w:b/>
          <w:sz w:val="24"/>
          <w:szCs w:val="24"/>
        </w:rPr>
        <w:t>ANTÔNIO ROBSON ALVES DOS SANTOS</w:t>
      </w:r>
    </w:p>
    <w:p>
      <w:pPr>
        <w:suppressAutoHyphens w:val="0"/>
        <w:spacing w:line="276" w:lineRule="auto"/>
        <w:jc w:val="center"/>
        <w:rPr>
          <w:rFonts w:eastAsia="MS Mincho"/>
          <w:sz w:val="24"/>
          <w:szCs w:val="24"/>
        </w:rPr>
      </w:pPr>
      <w:r>
        <w:rPr>
          <w:rFonts w:eastAsia="MS Mincho"/>
          <w:sz w:val="24"/>
          <w:szCs w:val="24"/>
        </w:rPr>
        <w:t>Pregoeiro do Município de Miraíma-CE</w:t>
      </w: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uppressAutoHyphens w:val="0"/>
        <w:spacing w:line="276" w:lineRule="auto"/>
        <w:jc w:val="center"/>
        <w:rPr>
          <w:rFonts w:eastAsia="MS Mincho"/>
          <w:sz w:val="24"/>
          <w:szCs w:val="24"/>
        </w:rPr>
      </w:pPr>
    </w:p>
    <w:p>
      <w:pPr>
        <w:spacing w:line="276" w:lineRule="auto"/>
        <w:jc w:val="center"/>
        <w:rPr>
          <w:b/>
          <w:sz w:val="24"/>
          <w:szCs w:val="24"/>
        </w:rPr>
      </w:pPr>
      <w:r>
        <w:rPr>
          <w:rFonts w:eastAsia="MS Mincho"/>
          <w:b/>
          <w:sz w:val="24"/>
          <w:szCs w:val="24"/>
        </w:rPr>
        <w:t xml:space="preserve">ANEXO 01 - </w:t>
      </w:r>
      <w:r>
        <w:rPr>
          <w:b/>
          <w:sz w:val="24"/>
          <w:szCs w:val="24"/>
        </w:rPr>
        <w:t>TERMO DE REFERÊNCIA</w:t>
      </w:r>
    </w:p>
    <w:p>
      <w:pPr>
        <w:tabs>
          <w:tab w:val="left" w:pos="284"/>
          <w:tab w:val="left" w:pos="2525"/>
          <w:tab w:val="center" w:pos="4873"/>
        </w:tabs>
        <w:spacing w:line="276" w:lineRule="auto"/>
        <w:jc w:val="right"/>
        <w:rPr>
          <w:b/>
          <w:sz w:val="24"/>
          <w:szCs w:val="24"/>
        </w:rPr>
      </w:pPr>
    </w:p>
    <w:p>
      <w:pPr>
        <w:spacing w:line="276" w:lineRule="auto"/>
        <w:jc w:val="center"/>
        <w:rPr>
          <w:b/>
          <w:sz w:val="24"/>
          <w:szCs w:val="24"/>
        </w:rPr>
      </w:pPr>
      <w:r>
        <w:rPr>
          <w:b/>
          <w:sz w:val="24"/>
          <w:szCs w:val="24"/>
        </w:rPr>
        <w:t>PREFEITURA MUNICIPAL DE MIRAÍMA-CE</w:t>
      </w:r>
    </w:p>
    <w:p>
      <w:pPr>
        <w:spacing w:line="276" w:lineRule="auto"/>
        <w:jc w:val="center"/>
        <w:rPr>
          <w:b/>
          <w:sz w:val="24"/>
          <w:szCs w:val="24"/>
        </w:rPr>
      </w:pPr>
    </w:p>
    <w:p>
      <w:pPr>
        <w:pStyle w:val="Nivel01"/>
        <w:numPr>
          <w:ilvl w:val="0"/>
          <w:numId w:val="42"/>
        </w:numPr>
        <w:spacing w:before="0" w:line="276" w:lineRule="auto"/>
        <w:rPr>
          <w:rFonts w:ascii="Times New Roman" w:hAnsi="Times New Roman" w:cs="Times New Roman"/>
          <w:sz w:val="24"/>
          <w:szCs w:val="24"/>
        </w:rPr>
      </w:pPr>
      <w:r>
        <w:rPr>
          <w:rFonts w:ascii="Times New Roman" w:hAnsi="Times New Roman" w:cs="Times New Roman"/>
          <w:sz w:val="24"/>
          <w:szCs w:val="24"/>
        </w:rPr>
        <w:t>CONDIÇÕES GERAIS DA CONTRATAÇÃO</w:t>
      </w:r>
    </w:p>
    <w:p>
      <w:pPr>
        <w:pStyle w:val="Nivel2"/>
        <w:spacing w:before="0" w:after="0"/>
        <w:rPr>
          <w:rFonts w:ascii="Times New Roman" w:hAnsi="Times New Roman" w:cs="Times New Roman"/>
          <w:b/>
          <w:bCs/>
          <w:color w:val="auto"/>
          <w:sz w:val="24"/>
          <w:szCs w:val="24"/>
        </w:rPr>
      </w:pPr>
      <w:r>
        <w:rPr>
          <w:rFonts w:ascii="Times New Roman" w:hAnsi="Times New Roman" w:cs="Times New Roman"/>
          <w:color w:val="auto"/>
          <w:sz w:val="24"/>
          <w:szCs w:val="24"/>
        </w:rPr>
        <w:t>CONTRATAÇÃO DE EMPRESA ESPECIALIZADA NA PRESTAÇÃO DE SERVIÇOS DE ASSESSORIA ADMINISTRATIVA, NA ELABORAÇÃO DE PROJETOS PARA CAPTAÇÃO DE RECURSOS E PRESTAÇÃO DE CONTAS DE CONVÊNIOS E PROGRAMAS FIRMADOS COM O GOVERNO ESTADUAL E FEDERAL, JUNTO AS DIVERSAS SECRETARIAS DO MUNICÍPIO DE MIRAÍMA/CE, nos termos da tabela abaixo, conforme condições e exigências estabelecidas neste instrumento.</w:t>
      </w:r>
    </w:p>
    <w:p>
      <w:pPr>
        <w:pStyle w:val="Nivel2"/>
        <w:numPr>
          <w:ilvl w:val="0"/>
          <w:numId w:val="0"/>
        </w:numPr>
        <w:spacing w:before="0" w:after="0"/>
        <w:rPr>
          <w:rFonts w:ascii="Times New Roman" w:hAnsi="Times New Roman" w:cs="Times New Roman"/>
          <w:b/>
          <w:bCs/>
          <w:color w:val="auto"/>
          <w:sz w:val="24"/>
          <w:szCs w:val="24"/>
        </w:rPr>
      </w:pPr>
    </w:p>
    <w:tbl>
      <w:tblPr>
        <w:tblW w:w="10509" w:type="dxa"/>
        <w:jc w:val="center"/>
        <w:tblCellMar>
          <w:left w:w="70" w:type="dxa"/>
          <w:right w:w="70" w:type="dxa"/>
        </w:tblCellMar>
        <w:tblLook w:val="04A0" w:firstRow="1" w:lastRow="0" w:firstColumn="1" w:lastColumn="0" w:noHBand="0" w:noVBand="1"/>
      </w:tblPr>
      <w:tblGrid>
        <w:gridCol w:w="973"/>
        <w:gridCol w:w="4632"/>
        <w:gridCol w:w="660"/>
        <w:gridCol w:w="1067"/>
        <w:gridCol w:w="1506"/>
        <w:gridCol w:w="1671"/>
      </w:tblGrid>
      <w:tr>
        <w:trPr>
          <w:trHeight w:val="477"/>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b/>
                <w:bCs/>
                <w:color w:val="000000"/>
                <w:sz w:val="24"/>
                <w:szCs w:val="24"/>
                <w:lang w:eastAsia="pt-BR"/>
              </w:rPr>
            </w:pPr>
            <w:r>
              <w:rPr>
                <w:b/>
                <w:bCs/>
                <w:color w:val="000000"/>
                <w:sz w:val="24"/>
                <w:szCs w:val="24"/>
                <w:lang w:eastAsia="pt-BR"/>
              </w:rPr>
              <w:t>ITEM</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ESPECIFICAÇÃO</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 xml:space="preserve">UND </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b/>
                <w:bCs/>
                <w:color w:val="000000"/>
                <w:sz w:val="24"/>
                <w:szCs w:val="24"/>
                <w:lang w:eastAsia="pt-BR"/>
              </w:rPr>
            </w:pPr>
            <w:r>
              <w:rPr>
                <w:b/>
                <w:bCs/>
                <w:color w:val="000000"/>
                <w:sz w:val="24"/>
                <w:szCs w:val="24"/>
                <w:lang w:eastAsia="pt-BR"/>
              </w:rPr>
              <w:t>QUANT.</w:t>
            </w:r>
          </w:p>
        </w:tc>
        <w:tc>
          <w:tcPr>
            <w:tcW w:w="1506"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line="276" w:lineRule="auto"/>
              <w:jc w:val="center"/>
              <w:rPr>
                <w:b/>
                <w:bCs/>
                <w:color w:val="000000"/>
                <w:sz w:val="24"/>
                <w:szCs w:val="24"/>
                <w:lang w:eastAsia="pt-BR"/>
              </w:rPr>
            </w:pPr>
            <w:r>
              <w:rPr>
                <w:b/>
                <w:bCs/>
                <w:color w:val="000000"/>
                <w:sz w:val="24"/>
                <w:szCs w:val="24"/>
                <w:lang w:eastAsia="pt-BR"/>
              </w:rPr>
              <w:t>VALOR UNITÁRIO</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VALOR TOTAL</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01</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 xml:space="preserve">Contratação de empresa para a prestação dos serviços de assessoria administrativa, na </w:t>
            </w:r>
            <w:r>
              <w:rPr>
                <w:sz w:val="24"/>
                <w:szCs w:val="24"/>
              </w:rPr>
              <w:lastRenderedPageBreak/>
              <w:t>elaboração de projetos para captação de recursos e prestação de contas de convênios e programas firmados com o governo estadual e federal, junto a Secretaria de Educação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lastRenderedPageBreak/>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lastRenderedPageBreak/>
              <w:t>02</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Saúde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03</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do Trabalho e Assistência Social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04</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Finanças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509" w:type="dxa"/>
            <w:gridSpan w:val="6"/>
            <w:tcBorders>
              <w:top w:val="single" w:sz="4" w:space="0" w:color="auto"/>
              <w:left w:val="single" w:sz="4" w:space="0" w:color="auto"/>
              <w:bottom w:val="single" w:sz="4" w:space="0" w:color="auto"/>
              <w:right w:val="single" w:sz="4" w:space="0" w:color="auto"/>
            </w:tcBorders>
            <w:vAlign w:val="center"/>
          </w:tcPr>
          <w:p>
            <w:pPr>
              <w:spacing w:line="276" w:lineRule="auto"/>
              <w:jc w:val="both"/>
              <w:rPr>
                <w:color w:val="000000"/>
                <w:sz w:val="24"/>
                <w:szCs w:val="24"/>
                <w:lang w:eastAsia="pt-BR"/>
              </w:rPr>
            </w:pPr>
            <w:r>
              <w:rPr>
                <w:color w:val="000000"/>
                <w:sz w:val="24"/>
                <w:szCs w:val="24"/>
                <w:lang w:eastAsia="pt-BR"/>
              </w:rPr>
              <w:t>Valor global: R$ 231.200,16 (Duzentos e Trinta e Um Mil, Duzentos Reais e Dezesseis Centavos).</w:t>
            </w:r>
          </w:p>
        </w:tc>
      </w:tr>
    </w:tbl>
    <w:p>
      <w:pPr>
        <w:pStyle w:val="Nivel2"/>
        <w:numPr>
          <w:ilvl w:val="0"/>
          <w:numId w:val="0"/>
        </w:numPr>
        <w:spacing w:before="0" w:after="0"/>
        <w:rPr>
          <w:rFonts w:ascii="Times New Roman" w:hAnsi="Times New Roman" w:cs="Times New Roman"/>
          <w:color w:val="auto"/>
          <w:sz w:val="24"/>
          <w:szCs w:val="24"/>
        </w:rPr>
      </w:pP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O(s) serviço(s) objeto desta contratação são caracterizados como comum(ns), conforme justificativa constante do Estudo Técnico Preliminar.</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prazo de vigência da contratação é de 12 (Doze) meses, contados da data de assinatura do contrato, prorrogável por até 10 anos, na forma dos artigos 105 e 107 da Lei n° 14.133, de 2021.</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contrato oferece maior detalhamento das regras que serão aplicadas em relação à vigência da contratação.</w:t>
      </w:r>
    </w:p>
    <w:p>
      <w:pPr>
        <w:pStyle w:val="Nivel2"/>
        <w:numPr>
          <w:ilvl w:val="0"/>
          <w:numId w:val="0"/>
        </w:numPr>
        <w:spacing w:before="0" w:after="0"/>
        <w:rPr>
          <w:rFonts w:ascii="Times New Roman" w:hAnsi="Times New Roman" w:cs="Times New Roman"/>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FUNDAMENTAÇÃO E DESCRIÇÃO DA NECESSIDADE DA CONTRATAÇÃO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pPr>
        <w:pStyle w:val="Nivel3"/>
        <w:numPr>
          <w:ilvl w:val="0"/>
          <w:numId w:val="0"/>
        </w:numPr>
        <w:spacing w:before="0" w:after="0"/>
        <w:ind w:left="284"/>
        <w:rPr>
          <w:rFonts w:ascii="Times New Roman" w:hAnsi="Times New Roman" w:cs="Times New Roman"/>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DESCRIÇÃO DA SOLUÇÃO COMO UM TODO CONSIDERADO O CICLO DE VIDA DO OBJETO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descrição da solução como um todo encontra-se pormenorizada em tópico específico dos Estudos Técnicos Preliminares, apêndice deste Termo de Referência.</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REQUISITOS DA CONTRATAÇÃO</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Subcontratação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Não é admitida a subcontratação do objeto contratual.</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Garantia da contratação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Não haverá exigência da garantia da contratação dos </w:t>
      </w:r>
      <w:hyperlink r:id="rId55" w:anchor="art96">
        <w:r>
          <w:rPr>
            <w:rFonts w:ascii="Times New Roman" w:hAnsi="Times New Roman" w:cs="Times New Roman"/>
            <w:i w:val="0"/>
            <w:color w:val="auto"/>
            <w:sz w:val="24"/>
            <w:szCs w:val="24"/>
          </w:rPr>
          <w:t>artigos 96 e seguintes da Lei nº 14.133, de 2021</w:t>
        </w:r>
      </w:hyperlink>
      <w:r>
        <w:rPr>
          <w:rFonts w:ascii="Times New Roman" w:hAnsi="Times New Roman" w:cs="Times New Roman"/>
          <w:i w:val="0"/>
          <w:color w:val="auto"/>
          <w:sz w:val="24"/>
          <w:szCs w:val="24"/>
        </w:rPr>
        <w:t>.</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Vistoria</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Não há necessidade de realização de avaliação prévia do local de execução dos serviços.</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EXECUÇÃO DO OBJETO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Os serviços licitados deverão ser iniciados no prazo máximo de 05 (cinco) dias a contar do recebimento da ORDEM DE SERVIÇOS pela administração, no local definido pela Secretaria Gestora, observando rigorosamente as especificações contidas no Termo de Referência, nos anexos, no contrato e disposições constantes de sua proposta.</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Os serviços deverão ser executados conforme disposto no Edital, no Termo Referencia e na Ordem de Serviço.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Para a prestação de serviços do objeto deste certame, deverá ser emitida a Fatura e Nota Fiscal cujas informações para a emissão deverão ser requeridas junto ao Contratante.</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recusa injustificada ou a carência de justo motivo da vencedora de não assinar a ORDEM DE SERVIÇO e a não prestação do mesmo, no prazo e condições estabelecidos, sujeitará a Licitante à aplicação das penalidades previstas do Edital.</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No caso de constatação da inadequação do objeto licitado às normas e exigências especificadas no Edital, no Termo de Referência, no contrato e na Proposta vencedora a Administração os recusará, devendo ser de imediato ou no prazo de 24 (vinte e quatro) horas adequados às supracitadas condições, sob pena de aplicação das penalidades cabíveis, na forma da lei e do instrumento.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licitante vencedora é responsável pelos danos causados diretamente à Administração ou a terceiros, decorrentes de culpa ou dolo, sua ou de preposto, na execução dos serviços, não excluindo ou reduzindo essa responsabilidade a fiscalização ou o acompanhamento pelo órgão interessado.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licitante vencedora é responsável pelos encargos trabalhistas, previdenciários, fiscais e comerciais resultantes da execução dos serviços.</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lastRenderedPageBreak/>
        <w:t>A licitante vencedora utilizará, na execução dos serviços, profissionais capacitados e qualificados para tal fim, exceto nas atividades compartilhadas que podem ser desempenhadas por profissionais de outras áreas.</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licitante vencedora, não assinará documentos ou peças elaboradas por outrem, alheias à sua orientação, supervisão e fiscalização.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licitante vencedora, deverá manter a Administração Municipal informada sobre o andamento dos serviços, informando-a sempre que se registrarem ocorrências extraordinárias.</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licitante vencedora, guardará sigilo sobre informações e documentos fornecidos pela Contratante, em decorrência dos serviços objeto do presente contrato, adotando medidas internas de segurança.</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GESTÃO DO CONTRATO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órgão ou entidade poderá convocar representante da empresa para adoção de providências que devam ser cumpridas de imediato.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Preposto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 Contratada designará formalmente o preposto da empresa, antes do início da prestação dos serviços, indicando no instrumento os poderes e deveres em relação à execução do objeto contratado.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 Contratante poderá recusar, desde que justificadamente, a indicação ou a manutenção do preposto da empresa, hipótese em que a Contratada designará outro para o exercício da atividade.</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Fiscalização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 execução do contrato deverá ser acompanhada e fiscalizada pelo(s) fiscal(is) do contrato, ou pelos respectivos substitutos (Lei nº 14.133, de 2021, art. 117, caput).</w:t>
      </w:r>
    </w:p>
    <w:p>
      <w:pPr>
        <w:pStyle w:val="Nivel2"/>
        <w:numPr>
          <w:ilvl w:val="0"/>
          <w:numId w:val="0"/>
        </w:numPr>
        <w:spacing w:before="0" w:after="0"/>
        <w:rPr>
          <w:rFonts w:ascii="Times New Roman" w:hAnsi="Times New Roman" w:cs="Times New Roman"/>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DO PAGAMENTO </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Prazo de pagamento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pagamento será efetuado em até 30 (trinta) dias após o encaminhamento das notas fiscais/faturas, observadas as disposições editalícia.</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aplicando-se a seguinte fórmula:</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EM = I x N x VP</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EM = Encargos Moratórios a serem acrescidos ao valor originariamente devido</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I = Índice de atualização financeira, calculado segundo a fórmula:</w:t>
      </w:r>
    </w:p>
    <w:p>
      <w:pPr>
        <w:pStyle w:val="Nivel2"/>
        <w:numPr>
          <w:ilvl w:val="0"/>
          <w:numId w:val="0"/>
        </w:numPr>
        <w:spacing w:before="0" w:after="0"/>
        <w:ind w:left="3540"/>
        <w:rPr>
          <w:rFonts w:ascii="Times New Roman" w:hAnsi="Times New Roman" w:cs="Times New Roman"/>
          <w:color w:val="auto"/>
          <w:sz w:val="24"/>
          <w:szCs w:val="24"/>
        </w:rPr>
      </w:pPr>
      <w:r>
        <w:rPr>
          <w:rFonts w:ascii="Times New Roman" w:hAnsi="Times New Roman" w:cs="Times New Roman"/>
          <w:color w:val="auto"/>
          <w:sz w:val="24"/>
          <w:szCs w:val="24"/>
        </w:rPr>
        <w:t>I = (Tx / 100)</w:t>
      </w:r>
    </w:p>
    <w:p>
      <w:pPr>
        <w:pStyle w:val="Nivel2"/>
        <w:numPr>
          <w:ilvl w:val="0"/>
          <w:numId w:val="0"/>
        </w:numPr>
        <w:spacing w:before="0" w:after="0"/>
        <w:ind w:left="3540"/>
        <w:rPr>
          <w:rFonts w:ascii="Times New Roman" w:hAnsi="Times New Roman" w:cs="Times New Roman"/>
          <w:color w:val="auto"/>
          <w:sz w:val="24"/>
          <w:szCs w:val="24"/>
        </w:rPr>
      </w:pPr>
      <w:r>
        <w:rPr>
          <w:rFonts w:ascii="Times New Roman" w:hAnsi="Times New Roman" w:cs="Times New Roman"/>
          <w:color w:val="auto"/>
          <w:sz w:val="24"/>
          <w:szCs w:val="24"/>
        </w:rPr>
        <w:t xml:space="preserve">          365</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Tx = IPCA (IBGE)</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N = Número de dias entre a data limite prevista para o pagamento e a data do efetivo pagamento</w:t>
      </w:r>
    </w:p>
    <w:p>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VP = Valor da Parcela em atraso</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Forma de pagamento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pagamento será realizado através de ordem bancária, para crédito em banco, agência e conta corrente indicados pelo contratado.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Será considerada data do pagamento o dia em que constar como emitida a ordem bancária para pagamento.</w:t>
      </w:r>
    </w:p>
    <w:p>
      <w:pPr>
        <w:pStyle w:val="Nivel2"/>
        <w:spacing w:before="0" w:after="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Quando do pagamento, será efetuada a retenção tributária prevista na legislação aplicável.</w:t>
      </w:r>
    </w:p>
    <w:p>
      <w:pPr>
        <w:pStyle w:val="Nivel3"/>
        <w:numPr>
          <w:ilvl w:val="0"/>
          <w:numId w:val="20"/>
        </w:numPr>
        <w:spacing w:before="0" w:after="0"/>
        <w:ind w:left="709" w:hanging="283"/>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pPr>
        <w:pStyle w:val="Nivel2"/>
        <w:spacing w:before="0" w:after="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0"/>
          <w:numId w:val="0"/>
        </w:numPr>
        <w:spacing w:before="0" w:after="0"/>
        <w:rPr>
          <w:rFonts w:ascii="Times New Roman" w:hAnsi="Times New Roman" w:cs="Times New Roman"/>
          <w:color w:val="auto"/>
          <w:sz w:val="24"/>
          <w:szCs w:val="24"/>
          <w:lang w:eastAsia="en-US"/>
        </w:rPr>
      </w:pPr>
    </w:p>
    <w:p>
      <w:pPr>
        <w:pStyle w:val="Nivel01"/>
        <w:spacing w:before="0" w:line="276" w:lineRule="auto"/>
        <w:ind w:left="0" w:firstLine="0"/>
        <w:rPr>
          <w:rFonts w:ascii="Times New Roman" w:eastAsia="Calibri" w:hAnsi="Times New Roman" w:cs="Times New Roman"/>
          <w:sz w:val="24"/>
          <w:szCs w:val="24"/>
        </w:rPr>
      </w:pPr>
      <w:r>
        <w:rPr>
          <w:rFonts w:ascii="Times New Roman" w:hAnsi="Times New Roman" w:cs="Times New Roman"/>
          <w:sz w:val="24"/>
          <w:szCs w:val="24"/>
        </w:rPr>
        <w:t>FORMA E CRITÉRIOS DE SELEÇÃO DO FORNECEDOR E REGIME DE EXECUÇÃO</w:t>
      </w:r>
    </w:p>
    <w:p>
      <w:pPr>
        <w:pStyle w:val="Nvel01-SemNumerao"/>
        <w:spacing w:before="0" w:after="0"/>
        <w:rPr>
          <w:rFonts w:ascii="Times New Roman" w:eastAsiaTheme="minorEastAsia" w:hAnsi="Times New Roman" w:cs="Times New Roman"/>
          <w:sz w:val="24"/>
          <w:szCs w:val="24"/>
        </w:rPr>
      </w:pPr>
      <w:r>
        <w:rPr>
          <w:rFonts w:ascii="Times New Roman" w:hAnsi="Times New Roman" w:cs="Times New Roman"/>
          <w:sz w:val="24"/>
          <w:szCs w:val="24"/>
        </w:rPr>
        <w:t>Forma de seleção e critério de julgamento da proposta</w:t>
      </w:r>
    </w:p>
    <w:p>
      <w:pPr>
        <w:pStyle w:val="Nivel2"/>
        <w:spacing w:before="0" w:after="0"/>
        <w:rPr>
          <w:rFonts w:ascii="Times New Roman" w:eastAsia="MS Mincho" w:hAnsi="Times New Roman" w:cs="Times New Roman"/>
          <w:i/>
          <w:iCs/>
          <w:color w:val="auto"/>
          <w:sz w:val="24"/>
          <w:szCs w:val="24"/>
        </w:rPr>
      </w:pPr>
      <w:r>
        <w:rPr>
          <w:rFonts w:ascii="Times New Roman" w:hAnsi="Times New Roman" w:cs="Times New Roman"/>
          <w:color w:val="auto"/>
          <w:sz w:val="24"/>
          <w:szCs w:val="24"/>
        </w:rPr>
        <w:t xml:space="preserve">O fornecedor será selecionado por meio da realização de procedimento de LICITAÇÃO, na modalidade PREGÃO, sob a forma ELETRÔNICA, com adoção do critério de julgamento pelo </w:t>
      </w:r>
      <w:r>
        <w:rPr>
          <w:rFonts w:ascii="Times New Roman" w:hAnsi="Times New Roman" w:cs="Times New Roman"/>
          <w:b/>
          <w:color w:val="auto"/>
          <w:sz w:val="24"/>
          <w:szCs w:val="24"/>
        </w:rPr>
        <w:t>MENOR PREÇO</w:t>
      </w:r>
      <w:r>
        <w:rPr>
          <w:rFonts w:ascii="Times New Roman" w:hAnsi="Times New Roman" w:cs="Times New Roman"/>
          <w:color w:val="auto"/>
          <w:sz w:val="24"/>
          <w:szCs w:val="24"/>
        </w:rPr>
        <w:t>.</w:t>
      </w:r>
    </w:p>
    <w:p>
      <w:pPr>
        <w:pStyle w:val="Nvel01-SemNumerao"/>
        <w:spacing w:before="0" w:after="0"/>
        <w:rPr>
          <w:rFonts w:ascii="Times New Roman" w:eastAsia="MS Mincho" w:hAnsi="Times New Roman" w:cs="Times New Roman"/>
          <w:sz w:val="24"/>
          <w:szCs w:val="24"/>
        </w:rPr>
      </w:pPr>
      <w:r>
        <w:rPr>
          <w:rFonts w:ascii="Times New Roman" w:hAnsi="Times New Roman" w:cs="Times New Roman"/>
          <w:sz w:val="24"/>
          <w:szCs w:val="24"/>
        </w:rPr>
        <w:t>Regime de execução</w:t>
      </w:r>
    </w:p>
    <w:p>
      <w:pPr>
        <w:pStyle w:val="Nivel2"/>
        <w:spacing w:before="0" w:after="0"/>
        <w:rPr>
          <w:rFonts w:ascii="Times New Roman" w:eastAsia="MS Mincho" w:hAnsi="Times New Roman" w:cs="Times New Roman"/>
          <w:i/>
          <w:iCs/>
          <w:color w:val="auto"/>
          <w:sz w:val="24"/>
          <w:szCs w:val="24"/>
        </w:rPr>
      </w:pPr>
      <w:r>
        <w:rPr>
          <w:rFonts w:ascii="Times New Roman" w:hAnsi="Times New Roman" w:cs="Times New Roman"/>
          <w:color w:val="auto"/>
          <w:sz w:val="24"/>
          <w:szCs w:val="24"/>
        </w:rPr>
        <w:t xml:space="preserve">O regime de execução do contrato será: </w:t>
      </w:r>
      <w:r>
        <w:rPr>
          <w:rFonts w:ascii="Times New Roman" w:hAnsi="Times New Roman" w:cs="Times New Roman"/>
          <w:b/>
          <w:color w:val="auto"/>
          <w:sz w:val="24"/>
          <w:szCs w:val="24"/>
        </w:rPr>
        <w:t>Indireta por preço global.</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lastRenderedPageBreak/>
        <w:t>Exigências de habilitação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Para fins de habilitação, deverá o licitante comprovar os seguintes requisitos: </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Habilitação jurídica</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Empresário individual</w:t>
      </w:r>
      <w:r>
        <w:rPr>
          <w:rFonts w:ascii="Times New Roman" w:hAnsi="Times New Roman" w:cs="Times New Roman"/>
          <w:color w:val="auto"/>
          <w:sz w:val="24"/>
          <w:szCs w:val="24"/>
        </w:rPr>
        <w:t xml:space="preserve">: inscrição no Registro Público de Empresas Mercantis, a cargo da Junta Comercial da respectiva sede; </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Microempreendedor Individual - MEI</w:t>
      </w:r>
      <w:r>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56">
        <w:r>
          <w:rPr>
            <w:rStyle w:val="Hyperlink"/>
            <w:rFonts w:ascii="Times New Roman" w:hAnsi="Times New Roman" w:cs="Times New Roman"/>
            <w:color w:val="auto"/>
            <w:sz w:val="24"/>
            <w:szCs w:val="24"/>
          </w:rPr>
          <w:t>https://www.gov.br/empresas-e-negocios/pt-br/empreendedor</w:t>
        </w:r>
      </w:hyperlink>
      <w:r>
        <w:rPr>
          <w:rFonts w:ascii="Times New Roman" w:hAnsi="Times New Roman" w:cs="Times New Roman"/>
          <w:color w:val="auto"/>
          <w:sz w:val="24"/>
          <w:szCs w:val="24"/>
        </w:rPr>
        <w:t>;</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estrangeira</w:t>
      </w:r>
      <w:r>
        <w:rPr>
          <w:rFonts w:ascii="Times New Roman" w:hAnsi="Times New Roman" w:cs="Times New Roman"/>
          <w:color w:val="auto"/>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Sociedade simples</w:t>
      </w:r>
      <w:r>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Filial, sucursal ou agência de sociedade simples ou empresária</w:t>
      </w:r>
      <w:r>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Nivel2"/>
        <w:spacing w:before="0" w:after="0"/>
        <w:rPr>
          <w:rFonts w:ascii="Times New Roman" w:hAnsi="Times New Roman" w:cs="Times New Roman"/>
          <w:color w:val="auto"/>
          <w:sz w:val="24"/>
          <w:szCs w:val="24"/>
        </w:rPr>
      </w:pPr>
      <w:r>
        <w:rPr>
          <w:rFonts w:ascii="Times New Roman" w:hAnsi="Times New Roman" w:cs="Times New Roman"/>
          <w:b/>
          <w:bCs/>
          <w:color w:val="auto"/>
          <w:sz w:val="24"/>
          <w:szCs w:val="24"/>
        </w:rPr>
        <w:t>Sociedade cooperativa</w:t>
      </w:r>
      <w:r>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Os documentos apresentados deverão estar acompanhados de todas as alterações ou da consolidação respectiva.</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Habilitação fiscal, social e trabalhista</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Prova de inscrição no Cadastro Nacional de Pessoas Jurídicas ou no Cadastro de Pessoas Físicas, conforme o caso;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Prova de regularidade com o Fundo de Garantia do Tempo de Serviço (FGTS);</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57">
        <w:r>
          <w:rPr>
            <w:rStyle w:val="Hyperlink"/>
            <w:rFonts w:ascii="Times New Roman" w:hAnsi="Times New Roman" w:cs="Times New Roman"/>
            <w:color w:val="auto"/>
            <w:sz w:val="24"/>
            <w:szCs w:val="24"/>
          </w:rPr>
          <w:t>Decreto-Lei nº 5.452, de 1º de maio de 1943;</w:t>
        </w:r>
      </w:hyperlink>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Prova de inscrição no cadastro de contribuintes municipal relativo ao domicílio ou sede do fornecedor, pertinente ao seu ramo de atividade e compatível com o objeto contratual; </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Estadual do domicílio ou sede do fornecedor, relativa à atividade em cujo exercício contrata ou concorre;</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Municipal do domicílio ou sede do fornecedor, relativa à atividade em cujo exercício contrata ou concorre</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t>Qualificação Econômico-Financeira</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Certidão negativa de falência expedida pelo distribuidor da sede do fornecedor - Lei nº 14.133, de 2021, art. 69, </w:t>
      </w:r>
      <w:r>
        <w:rPr>
          <w:rFonts w:ascii="Times New Roman" w:hAnsi="Times New Roman" w:cs="Times New Roman"/>
          <w:i/>
          <w:iCs/>
          <w:color w:val="auto"/>
          <w:sz w:val="24"/>
          <w:szCs w:val="24"/>
        </w:rPr>
        <w:t>caput</w:t>
      </w:r>
      <w:r>
        <w:rPr>
          <w:rFonts w:ascii="Times New Roman" w:hAnsi="Times New Roman" w:cs="Times New Roman"/>
          <w:color w:val="auto"/>
          <w:sz w:val="24"/>
          <w:szCs w:val="24"/>
        </w:rPr>
        <w:t>, inciso II);</w:t>
      </w:r>
    </w:p>
    <w:p>
      <w:pPr>
        <w:pStyle w:val="Nivel2"/>
        <w:spacing w:before="0" w:after="0"/>
        <w:rPr>
          <w:rStyle w:val="eop"/>
          <w:rFonts w:ascii="Times New Roman" w:hAnsi="Times New Roman" w:cs="Times New Roman"/>
          <w:color w:val="auto"/>
          <w:sz w:val="24"/>
          <w:szCs w:val="24"/>
        </w:rPr>
      </w:pPr>
      <w:r>
        <w:rPr>
          <w:rStyle w:val="normaltextrun"/>
          <w:rFonts w:ascii="Times New Roman" w:hAnsi="Times New Roman" w:cs="Times New Roman"/>
          <w:color w:val="auto"/>
          <w:sz w:val="24"/>
          <w:szCs w:val="24"/>
        </w:rPr>
        <w:t>Balanço patrimonial, demonstração de resultado de exercício e demais demonstrações contábeis dos 2 (dois) últimos exercícios sociais, comprovando: </w:t>
      </w:r>
    </w:p>
    <w:p>
      <w:pPr>
        <w:pStyle w:val="Nivel3"/>
        <w:numPr>
          <w:ilvl w:val="0"/>
          <w:numId w:val="21"/>
        </w:numPr>
        <w:spacing w:before="0" w:after="0"/>
        <w:ind w:left="284" w:firstLine="0"/>
        <w:rPr>
          <w:rStyle w:val="normaltextrun"/>
          <w:rFonts w:ascii="Times New Roman" w:hAnsi="Times New Roman" w:cs="Times New Roman"/>
          <w:color w:val="auto"/>
          <w:sz w:val="24"/>
          <w:szCs w:val="24"/>
        </w:rPr>
      </w:pPr>
      <w:r>
        <w:rPr>
          <w:rStyle w:val="normaltextrun"/>
          <w:rFonts w:ascii="Times New Roman" w:hAnsi="Times New Roman" w:cs="Times New Roman"/>
          <w:color w:val="auto"/>
          <w:sz w:val="24"/>
          <w:szCs w:val="24"/>
        </w:rPr>
        <w:t>Índices de Liquidez Geral (LG), Liquidez Corrente (LC), e Solvência Geral (SG) superiores a 1 (um);</w:t>
      </w:r>
    </w:p>
    <w:p>
      <w:pPr>
        <w:pStyle w:val="Nivel3"/>
        <w:numPr>
          <w:ilvl w:val="0"/>
          <w:numId w:val="21"/>
        </w:numPr>
        <w:spacing w:before="0" w:after="0"/>
        <w:ind w:left="284" w:firstLine="0"/>
        <w:rPr>
          <w:rStyle w:val="normaltextrun"/>
          <w:rFonts w:ascii="Times New Roman" w:hAnsi="Times New Roman" w:cs="Times New Roman"/>
          <w:color w:val="auto"/>
          <w:sz w:val="24"/>
          <w:szCs w:val="24"/>
        </w:rPr>
      </w:pPr>
      <w:r>
        <w:rPr>
          <w:rStyle w:val="normaltextrun"/>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e</w:t>
      </w:r>
    </w:p>
    <w:p>
      <w:pPr>
        <w:pStyle w:val="Nivel3"/>
        <w:numPr>
          <w:ilvl w:val="0"/>
          <w:numId w:val="21"/>
        </w:numPr>
        <w:spacing w:before="0" w:after="0"/>
        <w:ind w:left="284" w:firstLine="0"/>
        <w:rPr>
          <w:rStyle w:val="eop"/>
          <w:rFonts w:ascii="Times New Roman" w:hAnsi="Times New Roman" w:cs="Times New Roman"/>
          <w:color w:val="auto"/>
          <w:sz w:val="24"/>
          <w:szCs w:val="24"/>
        </w:rPr>
      </w:pPr>
      <w:r>
        <w:rPr>
          <w:rStyle w:val="normaltextrun"/>
          <w:rFonts w:ascii="Times New Roman" w:hAnsi="Times New Roman" w:cs="Times New Roman"/>
          <w:color w:val="auto"/>
          <w:sz w:val="24"/>
          <w:szCs w:val="24"/>
        </w:rPr>
        <w:t>Os documentos referidos acima limitar-se-ão ao último exercício no caso de a pessoa jurídica ter sido constituída há menos de 2 (dois) anos.</w:t>
      </w:r>
      <w:r>
        <w:rPr>
          <w:rStyle w:val="eop"/>
          <w:rFonts w:ascii="Times New Roman" w:hAnsi="Times New Roman" w:cs="Times New Roman"/>
          <w:color w:val="auto"/>
          <w:sz w:val="24"/>
          <w:szCs w:val="24"/>
        </w:rPr>
        <w:t> </w:t>
      </w:r>
    </w:p>
    <w:p>
      <w:pPr>
        <w:pStyle w:val="Nivel3"/>
        <w:numPr>
          <w:ilvl w:val="0"/>
          <w:numId w:val="21"/>
        </w:numPr>
        <w:spacing w:before="0" w:after="0"/>
        <w:ind w:left="284" w:firstLine="0"/>
        <w:rPr>
          <w:rStyle w:val="eop"/>
          <w:rFonts w:ascii="Times New Roman" w:eastAsia="MS Mincho" w:hAnsi="Times New Roman" w:cs="Times New Roman"/>
          <w:color w:val="auto"/>
          <w:sz w:val="24"/>
          <w:szCs w:val="24"/>
        </w:rPr>
      </w:pPr>
      <w:r>
        <w:rPr>
          <w:rStyle w:val="eop"/>
          <w:rFonts w:ascii="Times New Roman" w:eastAsia="MS Mincho" w:hAnsi="Times New Roman" w:cs="Times New Roman"/>
          <w:color w:val="auto"/>
          <w:sz w:val="24"/>
          <w:szCs w:val="24"/>
        </w:rPr>
        <w:t xml:space="preserve">Os documentos referidos acima deverão ser exigidos com base no limite definido pela Receita Federal do Brasil para transmissão da Escrituração Contábil Digital - ECD ao Sped.  </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pPr>
        <w:pStyle w:val="Nvel01-SemNumerao"/>
        <w:spacing w:before="0" w:after="0"/>
        <w:rPr>
          <w:rFonts w:ascii="Times New Roman" w:hAnsi="Times New Roman" w:cs="Times New Roman"/>
          <w:sz w:val="24"/>
          <w:szCs w:val="24"/>
        </w:rPr>
      </w:pPr>
      <w:r>
        <w:rPr>
          <w:rFonts w:ascii="Times New Roman" w:hAnsi="Times New Roman" w:cs="Times New Roman"/>
          <w:sz w:val="24"/>
          <w:szCs w:val="24"/>
        </w:rPr>
        <w:lastRenderedPageBreak/>
        <w:t>Qualificação Técnica</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Declaração de que o licitante tomou conhecimento de todas as informações e das condições locais para o cumprimento das obrigações objeto da licitação;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declaração acima poderá ser substituída por declaração formal assinada pelo responsável técnico do licitante acerca do conhecimento pleno das condições e peculiaridades da contratação.</w:t>
      </w:r>
    </w:p>
    <w:p>
      <w:pPr>
        <w:pStyle w:val="Nvel2-Red"/>
        <w:numPr>
          <w:ilvl w:val="1"/>
          <w:numId w:val="2"/>
        </w:numPr>
        <w:spacing w:before="0" w:after="0"/>
        <w:ind w:left="0" w:firstLine="0"/>
        <w:rPr>
          <w:rFonts w:ascii="Times New Roman" w:hAnsi="Times New Roman" w:cs="Times New Roman"/>
          <w:sz w:val="24"/>
          <w:szCs w:val="24"/>
        </w:rPr>
      </w:pPr>
      <w:r>
        <w:rPr>
          <w:rFonts w:ascii="Times New Roman" w:hAnsi="Times New Roman" w:cs="Times New Roman"/>
          <w:i w:val="0"/>
          <w:color w:val="auto"/>
          <w:sz w:val="24"/>
          <w:szCs w:val="24"/>
        </w:rPr>
        <w:t>Comprovação de aptidão para o fornecimento de serviços similares de complexidade tecnológica e operacional equivalente ou superior com o objeto desta contratação, por meio da apresentação de atestados, por pessoas jurídicas de direito público ou privado, atinentes ao respectivo objeto</w:t>
      </w:r>
      <w:r>
        <w:rPr>
          <w:rFonts w:ascii="Times New Roman" w:hAnsi="Times New Roman" w:cs="Times New Roman"/>
          <w:color w:val="auto"/>
          <w:sz w:val="24"/>
          <w:szCs w:val="24"/>
        </w:rPr>
        <w:t>.</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 Os atestados de capacidade técnica poderão ser apresentados em nome da matriz ou da filial do fornecedor.3</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o atestado deverá ser devidamente averbado/registrado no Conselho Regional de Administração (CRA), da localidade da proponente devendo ainda, vir acompanhado de RCA (registro de comprovação de aptidão) e Certidão de Acervo Técnico.</w:t>
      </w:r>
    </w:p>
    <w:p>
      <w:pPr>
        <w:pStyle w:val="Nivel2"/>
        <w:spacing w:before="0" w:after="0"/>
        <w:rPr>
          <w:rFonts w:ascii="Times New Roman" w:hAnsi="Times New Roman" w:cs="Times New Roman"/>
          <w:sz w:val="24"/>
          <w:szCs w:val="24"/>
        </w:rPr>
      </w:pPr>
      <w:r>
        <w:rPr>
          <w:rFonts w:ascii="Times New Roman" w:hAnsi="Times New Roman" w:cs="Times New Roman"/>
          <w:color w:val="auto"/>
          <w:sz w:val="24"/>
          <w:szCs w:val="24"/>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pPr>
        <w:pStyle w:val="Nivel2"/>
        <w:numPr>
          <w:ilvl w:val="0"/>
          <w:numId w:val="0"/>
        </w:numPr>
        <w:spacing w:before="0" w:after="0"/>
        <w:rPr>
          <w:rFonts w:ascii="Times New Roman" w:hAnsi="Times New Roman" w:cs="Times New Roman"/>
          <w:sz w:val="24"/>
          <w:szCs w:val="24"/>
        </w:rPr>
      </w:pPr>
      <w:r>
        <w:rPr>
          <w:rFonts w:ascii="Times New Roman" w:hAnsi="Times New Roman" w:cs="Times New Roman"/>
          <w:sz w:val="24"/>
          <w:szCs w:val="24"/>
        </w:rPr>
        <w:t>Justificativa: A exigência de comprovação de aptidão visa identificar se a futura contratada tem a infraestrutura empresarial e a capacidade de gestão de executar o objeto através de comprovação de anterior execução, essa exigência pode garantir a qualidade dos serviços, proteger o interesse público e promover a eficiência da gestão pública.</w:t>
      </w:r>
    </w:p>
    <w:p>
      <w:pPr>
        <w:pStyle w:val="Nivel2"/>
        <w:rPr>
          <w:rFonts w:ascii="Times New Roman" w:hAnsi="Times New Roman" w:cs="Times New Roman"/>
          <w:sz w:val="24"/>
          <w:szCs w:val="24"/>
        </w:rPr>
      </w:pPr>
      <w:r>
        <w:rPr>
          <w:rFonts w:ascii="Times New Roman" w:hAnsi="Times New Roman" w:cs="Times New Roman"/>
          <w:sz w:val="24"/>
          <w:szCs w:val="24"/>
        </w:rPr>
        <w:t>A licitante deverá apresentar declaração com indicação explícita da equipe técnica, pertencente ao seu quadro permanente, adequada e disponível para a realização do objeto da licitação, composta de no mínimo 01 (um) profissional, sendo:</w:t>
      </w:r>
    </w:p>
    <w:p>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a) 01 (um) profissional com experiência comprovada em serviços compatíveis em características, prazos e condições com os serviços objetos da contratação.</w:t>
      </w:r>
    </w:p>
    <w:p>
      <w:pPr>
        <w:pStyle w:val="Nivel2"/>
        <w:rPr>
          <w:rFonts w:ascii="Times New Roman" w:hAnsi="Times New Roman" w:cs="Times New Roman"/>
          <w:sz w:val="24"/>
          <w:szCs w:val="24"/>
        </w:rPr>
      </w:pPr>
      <w:r>
        <w:rPr>
          <w:rFonts w:ascii="Times New Roman" w:hAnsi="Times New Roman" w:cs="Times New Roman"/>
          <w:sz w:val="24"/>
          <w:szCs w:val="24"/>
        </w:rPr>
        <w:t>Entende-se, para fins deste Termo de Referência como pertencente ao quadro permanente: sócio, diretor, empregado ou contratado. A comprovação de vinculação ao quadro permanente da licitante será feita:</w:t>
      </w:r>
    </w:p>
    <w:p>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 xml:space="preserve">a) Para sócio, mediante a apresentação do estatuto social/contrato social e seus aditivos; </w:t>
      </w:r>
    </w:p>
    <w:p>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b) Para diretor, mediante a apresentação da ata de eleição e posse da atual diretoria, devidamente registrada junto ao órgão competente;</w:t>
      </w:r>
    </w:p>
    <w:p>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 xml:space="preserve">c) Se o profissional integrante da equipe técnica não for sócio e/ou diretor da empresa, a comprovação se dará mediante a apresentação da cópia da Carteira de Trabalho e Previdência Social (CTPS) ou contrato de prestação de serviços devidamente assinado e celebrado na forma da lei. </w:t>
      </w:r>
    </w:p>
    <w:p>
      <w:pPr>
        <w:pStyle w:val="Nivel2"/>
        <w:rPr>
          <w:rFonts w:ascii="Times New Roman" w:hAnsi="Times New Roman" w:cs="Times New Roman"/>
          <w:sz w:val="24"/>
          <w:szCs w:val="24"/>
        </w:rPr>
      </w:pPr>
      <w:r>
        <w:rPr>
          <w:rFonts w:ascii="Times New Roman" w:hAnsi="Times New Roman" w:cs="Times New Roman"/>
          <w:sz w:val="24"/>
          <w:szCs w:val="24"/>
        </w:rPr>
        <w:lastRenderedPageBreak/>
        <w:t>A experiência do profissional na área deverá ser demonstrada através de atestados, certidões, carteiras de trabalho, documentos públicos oficiais ou outro equivalente, comprobatórios da atuação direta do profissional na área de administração, devendo apresentar Prova de inscrição, ou registro da licitante junto ao Conselho Regional de Administração (CRA), da localidade da sede da proponente.</w:t>
      </w:r>
    </w:p>
    <w:p>
      <w:pPr>
        <w:spacing w:line="276" w:lineRule="auto"/>
        <w:jc w:val="both"/>
        <w:rPr>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ESTIMATIVAS DO VALOR DA CONTRATAÇÃO</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O custo estimado total da contratação é de R$ 231.200,16 (Duzentos e Trinta e Um Mil, Duzentos Reais e Dezesseis Centavos), conforme custos unitários apostos na tabela disposta no item 1.1. </w:t>
      </w:r>
    </w:p>
    <w:p>
      <w:pPr>
        <w:pStyle w:val="Nivel2"/>
        <w:numPr>
          <w:ilvl w:val="0"/>
          <w:numId w:val="0"/>
        </w:numPr>
        <w:spacing w:before="0" w:after="0"/>
        <w:rPr>
          <w:rFonts w:ascii="Times New Roman" w:hAnsi="Times New Roman" w:cs="Times New Roman"/>
          <w:color w:val="auto"/>
          <w:sz w:val="24"/>
          <w:szCs w:val="24"/>
        </w:rPr>
      </w:pPr>
    </w:p>
    <w:p>
      <w:pPr>
        <w:pStyle w:val="Nivel01"/>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ADEQUAÇÃO ORÇAMENTÁRIA</w:t>
      </w:r>
    </w:p>
    <w:p>
      <w:pPr>
        <w:pStyle w:val="Nivel2"/>
        <w:spacing w:before="0" w:after="0"/>
        <w:rPr>
          <w:rFonts w:ascii="Times New Roman" w:hAnsi="Times New Roman" w:cs="Times New Roman"/>
          <w:color w:val="auto"/>
          <w:sz w:val="24"/>
          <w:szCs w:val="24"/>
        </w:rPr>
      </w:pPr>
      <w:r>
        <w:rPr>
          <w:rFonts w:ascii="Times New Roman" w:hAnsi="Times New Roman" w:cs="Times New Roman"/>
          <w:color w:val="auto"/>
          <w:sz w:val="24"/>
          <w:szCs w:val="24"/>
        </w:rPr>
        <w:t>As despesas decorrentes da presente contratação correrão à conta de recursos específicos consignados no Orçamento Municipal, inerentes às Secretarias Municipais, na(s) seguinte(s) rubrica(s) orçamentária(s):</w:t>
      </w:r>
    </w:p>
    <w:p>
      <w:pPr>
        <w:spacing w:line="276" w:lineRule="auto"/>
        <w:jc w:val="both"/>
        <w:rPr>
          <w:rFonts w:eastAsia="Arial"/>
          <w:sz w:val="24"/>
          <w:szCs w:val="24"/>
        </w:rPr>
      </w:pPr>
    </w:p>
    <w:p>
      <w:pPr>
        <w:spacing w:line="276" w:lineRule="auto"/>
        <w:jc w:val="both"/>
        <w:rPr>
          <w:rFonts w:eastAsia="Arial"/>
          <w:b/>
          <w:sz w:val="24"/>
          <w:szCs w:val="24"/>
        </w:rPr>
      </w:pPr>
      <w:r>
        <w:rPr>
          <w:rFonts w:eastAsia="Arial"/>
          <w:b/>
          <w:sz w:val="24"/>
          <w:szCs w:val="24"/>
        </w:rPr>
        <w:t xml:space="preserve">SECRETARIA DE EDUCAÇÃO </w:t>
      </w:r>
    </w:p>
    <w:p>
      <w:pPr>
        <w:spacing w:line="276" w:lineRule="auto"/>
        <w:jc w:val="both"/>
        <w:rPr>
          <w:rFonts w:eastAsia="Arial"/>
          <w:sz w:val="24"/>
          <w:szCs w:val="24"/>
        </w:rPr>
      </w:pPr>
      <w:r>
        <w:rPr>
          <w:rFonts w:eastAsia="Arial"/>
          <w:sz w:val="24"/>
          <w:szCs w:val="24"/>
        </w:rPr>
        <w:t>DOTAÇÃO ORÇAMENTÁRIA: 1001.12.122.001.2.050 - Funcionamento da Secretaria Municipal de Educação.</w:t>
      </w:r>
    </w:p>
    <w:p>
      <w:pPr>
        <w:spacing w:line="276" w:lineRule="auto"/>
        <w:jc w:val="both"/>
        <w:rPr>
          <w:rFonts w:eastAsia="Arial"/>
          <w:sz w:val="24"/>
          <w:szCs w:val="24"/>
        </w:rPr>
      </w:pPr>
      <w:r>
        <w:rPr>
          <w:rFonts w:eastAsia="Arial"/>
          <w:sz w:val="24"/>
          <w:szCs w:val="24"/>
        </w:rPr>
        <w:t>ELEMENTO DE DESPESAS: 3.3.90.39.00 - Outros serv. de terc. pessoa jurídica.</w:t>
      </w:r>
    </w:p>
    <w:p>
      <w:pPr>
        <w:spacing w:line="276" w:lineRule="auto"/>
        <w:jc w:val="both"/>
        <w:rPr>
          <w:rFonts w:eastAsia="Arial"/>
          <w:sz w:val="24"/>
          <w:szCs w:val="24"/>
        </w:rPr>
      </w:pPr>
      <w:r>
        <w:rPr>
          <w:rFonts w:eastAsia="Arial"/>
          <w:sz w:val="24"/>
          <w:szCs w:val="24"/>
        </w:rPr>
        <w:t xml:space="preserve">FONTE DE RECURSOS: 1500100100. </w:t>
      </w:r>
    </w:p>
    <w:p>
      <w:pPr>
        <w:spacing w:line="276" w:lineRule="auto"/>
        <w:jc w:val="both"/>
        <w:rPr>
          <w:rFonts w:eastAsia="Arial"/>
          <w:sz w:val="24"/>
          <w:szCs w:val="24"/>
        </w:rPr>
      </w:pPr>
    </w:p>
    <w:p>
      <w:pPr>
        <w:spacing w:line="276" w:lineRule="auto"/>
        <w:jc w:val="both"/>
        <w:rPr>
          <w:rFonts w:eastAsia="Arial"/>
          <w:b/>
          <w:sz w:val="24"/>
          <w:szCs w:val="24"/>
        </w:rPr>
      </w:pPr>
      <w:r>
        <w:rPr>
          <w:rFonts w:eastAsia="Arial"/>
          <w:b/>
          <w:sz w:val="24"/>
          <w:szCs w:val="24"/>
        </w:rPr>
        <w:t>SECRETARIA DE SAÚDE</w:t>
      </w:r>
    </w:p>
    <w:p>
      <w:pPr>
        <w:spacing w:line="276" w:lineRule="auto"/>
        <w:jc w:val="both"/>
        <w:rPr>
          <w:rFonts w:eastAsia="Arial"/>
          <w:sz w:val="24"/>
          <w:szCs w:val="24"/>
        </w:rPr>
      </w:pPr>
      <w:r>
        <w:rPr>
          <w:rFonts w:eastAsia="Arial"/>
          <w:sz w:val="24"/>
          <w:szCs w:val="24"/>
        </w:rPr>
        <w:t>DOTAÇÃO ORÇAMENTÁRIA: 0401.10.122.0014.2.009 - Recursos Próprios -Secretaria de Saúde.</w:t>
      </w:r>
    </w:p>
    <w:p>
      <w:pPr>
        <w:spacing w:line="276" w:lineRule="auto"/>
        <w:jc w:val="both"/>
        <w:rPr>
          <w:rFonts w:eastAsia="Arial"/>
          <w:sz w:val="24"/>
          <w:szCs w:val="24"/>
        </w:rPr>
      </w:pPr>
      <w:r>
        <w:rPr>
          <w:rFonts w:eastAsia="Arial"/>
          <w:sz w:val="24"/>
          <w:szCs w:val="24"/>
        </w:rPr>
        <w:t>ELEMENTO DE DESPESAS: 3.3.90.39.00 – outros serviços de terc. Pessoa jurídica.</w:t>
      </w:r>
    </w:p>
    <w:p>
      <w:pPr>
        <w:spacing w:line="276" w:lineRule="auto"/>
        <w:jc w:val="both"/>
        <w:rPr>
          <w:rFonts w:eastAsia="Arial"/>
          <w:sz w:val="24"/>
          <w:szCs w:val="24"/>
        </w:rPr>
      </w:pPr>
      <w:r>
        <w:rPr>
          <w:rFonts w:eastAsia="Arial"/>
          <w:sz w:val="24"/>
          <w:szCs w:val="24"/>
        </w:rPr>
        <w:t>ONTE DE RECURSOS: 1500100200.</w:t>
      </w:r>
    </w:p>
    <w:p>
      <w:pPr>
        <w:spacing w:line="276" w:lineRule="auto"/>
        <w:jc w:val="both"/>
        <w:rPr>
          <w:rFonts w:eastAsia="Arial"/>
          <w:sz w:val="24"/>
          <w:szCs w:val="24"/>
        </w:rPr>
      </w:pPr>
    </w:p>
    <w:p>
      <w:pPr>
        <w:spacing w:line="276" w:lineRule="auto"/>
        <w:jc w:val="both"/>
        <w:rPr>
          <w:rFonts w:eastAsia="Arial"/>
          <w:b/>
          <w:sz w:val="24"/>
          <w:szCs w:val="24"/>
        </w:rPr>
      </w:pPr>
      <w:r>
        <w:rPr>
          <w:rFonts w:eastAsia="Arial"/>
          <w:b/>
          <w:sz w:val="24"/>
          <w:szCs w:val="24"/>
        </w:rPr>
        <w:t xml:space="preserve">SECRETARIA DO TRABALHO E ASSISTÊNCIA SOCIAL: </w:t>
      </w:r>
    </w:p>
    <w:p>
      <w:pPr>
        <w:spacing w:line="276" w:lineRule="auto"/>
        <w:jc w:val="both"/>
        <w:rPr>
          <w:rFonts w:eastAsia="Arial"/>
          <w:sz w:val="24"/>
          <w:szCs w:val="24"/>
        </w:rPr>
      </w:pPr>
      <w:r>
        <w:rPr>
          <w:rFonts w:eastAsia="Arial"/>
          <w:sz w:val="24"/>
          <w:szCs w:val="24"/>
        </w:rPr>
        <w:t>DOTAÇÃO ORÇAMENTÁRIA: 0501.08.122.0014.2.016 - Manutenção e Funcionamento da Secretaria Municipal do Trabalho e Assist. Social.</w:t>
      </w:r>
    </w:p>
    <w:p>
      <w:pPr>
        <w:spacing w:line="276" w:lineRule="auto"/>
        <w:jc w:val="both"/>
        <w:rPr>
          <w:rFonts w:eastAsia="Arial"/>
          <w:sz w:val="24"/>
          <w:szCs w:val="24"/>
        </w:rPr>
      </w:pPr>
      <w:r>
        <w:rPr>
          <w:rFonts w:eastAsia="Arial"/>
          <w:sz w:val="24"/>
          <w:szCs w:val="24"/>
        </w:rPr>
        <w:t>ELEMENTO DE DESPESAS: 3.3.90.39.00 – outros serviços de terc. Pessoa jurídica.</w:t>
      </w:r>
    </w:p>
    <w:p>
      <w:pPr>
        <w:spacing w:line="276" w:lineRule="auto"/>
        <w:jc w:val="both"/>
        <w:rPr>
          <w:rFonts w:eastAsia="Arial"/>
          <w:sz w:val="24"/>
          <w:szCs w:val="24"/>
        </w:rPr>
      </w:pPr>
      <w:r>
        <w:rPr>
          <w:rFonts w:eastAsia="Arial"/>
          <w:sz w:val="24"/>
          <w:szCs w:val="24"/>
        </w:rPr>
        <w:t>FONTE DE RECURSOS: 1500000000.</w:t>
      </w:r>
    </w:p>
    <w:p>
      <w:pPr>
        <w:spacing w:line="276" w:lineRule="auto"/>
        <w:jc w:val="both"/>
        <w:rPr>
          <w:rFonts w:eastAsia="Arial"/>
          <w:sz w:val="24"/>
          <w:szCs w:val="24"/>
        </w:rPr>
      </w:pPr>
    </w:p>
    <w:p>
      <w:pPr>
        <w:spacing w:line="276" w:lineRule="auto"/>
        <w:jc w:val="both"/>
        <w:rPr>
          <w:rFonts w:eastAsia="Arial"/>
          <w:b/>
          <w:sz w:val="24"/>
          <w:szCs w:val="24"/>
        </w:rPr>
      </w:pPr>
      <w:r>
        <w:rPr>
          <w:rFonts w:eastAsia="Arial"/>
          <w:b/>
          <w:sz w:val="24"/>
          <w:szCs w:val="24"/>
        </w:rPr>
        <w:t xml:space="preserve">SECRETARIA DE FINANÇAS: </w:t>
      </w:r>
    </w:p>
    <w:p>
      <w:pPr>
        <w:spacing w:line="276" w:lineRule="auto"/>
        <w:jc w:val="both"/>
        <w:rPr>
          <w:rFonts w:eastAsia="Arial"/>
          <w:sz w:val="24"/>
          <w:szCs w:val="24"/>
        </w:rPr>
      </w:pPr>
      <w:r>
        <w:rPr>
          <w:rFonts w:eastAsia="Arial"/>
          <w:sz w:val="24"/>
          <w:szCs w:val="24"/>
        </w:rPr>
        <w:t xml:space="preserve">DOTAÇÃO ORÇAMENTÁRIA: 1101.28.123.0006.2.064 – Manutenção da Secretaria de Finanças. </w:t>
      </w:r>
    </w:p>
    <w:p>
      <w:pPr>
        <w:spacing w:line="276" w:lineRule="auto"/>
        <w:jc w:val="both"/>
        <w:rPr>
          <w:rFonts w:eastAsia="Arial"/>
          <w:sz w:val="24"/>
          <w:szCs w:val="24"/>
        </w:rPr>
      </w:pPr>
      <w:r>
        <w:rPr>
          <w:rFonts w:eastAsia="Arial"/>
          <w:sz w:val="24"/>
          <w:szCs w:val="24"/>
        </w:rPr>
        <w:t xml:space="preserve">ELEMENTO DE DESPESAS: 3.3.90.39.00 – outros serviços de Terc. Pessoa jurídica. </w:t>
      </w:r>
    </w:p>
    <w:p>
      <w:pPr>
        <w:spacing w:line="276" w:lineRule="auto"/>
        <w:jc w:val="both"/>
        <w:rPr>
          <w:rFonts w:eastAsia="Arial"/>
          <w:sz w:val="24"/>
          <w:szCs w:val="24"/>
        </w:rPr>
      </w:pPr>
      <w:r>
        <w:rPr>
          <w:rFonts w:eastAsia="Arial"/>
          <w:sz w:val="24"/>
          <w:szCs w:val="24"/>
        </w:rPr>
        <w:t>FONTE DE RECURSOS: 1500000000.</w:t>
      </w:r>
    </w:p>
    <w:p>
      <w:pPr>
        <w:spacing w:line="276" w:lineRule="auto"/>
        <w:jc w:val="both"/>
        <w:rPr>
          <w:rFonts w:eastAsia="Arial"/>
          <w:sz w:val="24"/>
          <w:szCs w:val="24"/>
        </w:rPr>
      </w:pP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lastRenderedPageBreak/>
        <w:t>A dotação relativa aos exercícios financeiros subsequentes será indicada após aprovação da Lei Orçamentária respectiva e liberação dos créditos correspondentes, mediante apostilamento.</w:t>
      </w:r>
    </w:p>
    <w:p>
      <w:pPr>
        <w:spacing w:line="276" w:lineRule="auto"/>
        <w:jc w:val="center"/>
        <w:rPr>
          <w:b/>
          <w:bCs/>
          <w:sz w:val="24"/>
          <w:szCs w:val="24"/>
        </w:rPr>
        <w:sectPr>
          <w:headerReference w:type="default" r:id="rId58"/>
          <w:footerReference w:type="even" r:id="rId59"/>
          <w:footerReference w:type="default" r:id="rId60"/>
          <w:pgSz w:w="11906" w:h="16838"/>
          <w:pgMar w:top="2354" w:right="1416" w:bottom="1418" w:left="1560" w:header="568" w:footer="339" w:gutter="0"/>
          <w:cols w:space="708"/>
          <w:docGrid w:linePitch="360"/>
        </w:sectPr>
      </w:pPr>
    </w:p>
    <w:p>
      <w:pPr>
        <w:spacing w:line="276" w:lineRule="auto"/>
        <w:jc w:val="center"/>
        <w:rPr>
          <w:b/>
          <w:bCs/>
          <w:sz w:val="24"/>
          <w:szCs w:val="24"/>
        </w:rPr>
      </w:pPr>
      <w:r>
        <w:rPr>
          <w:b/>
          <w:bCs/>
          <w:sz w:val="24"/>
          <w:szCs w:val="24"/>
        </w:rPr>
        <w:lastRenderedPageBreak/>
        <w:t xml:space="preserve">ANEXO 01 DO TERMO DE REFERÊNCIA </w:t>
      </w:r>
    </w:p>
    <w:p>
      <w:pPr>
        <w:spacing w:line="276" w:lineRule="auto"/>
        <w:jc w:val="center"/>
        <w:rPr>
          <w:b/>
          <w:bCs/>
          <w:sz w:val="24"/>
          <w:szCs w:val="24"/>
        </w:rPr>
      </w:pPr>
    </w:p>
    <w:p>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D9D9D9" w:themeFill="background1" w:themeFillShade="D9"/>
        <w:tabs>
          <w:tab w:val="left" w:pos="284"/>
          <w:tab w:val="left" w:pos="2525"/>
          <w:tab w:val="center" w:pos="4873"/>
        </w:tabs>
        <w:spacing w:line="276" w:lineRule="auto"/>
        <w:jc w:val="center"/>
        <w:rPr>
          <w:b/>
          <w:sz w:val="24"/>
          <w:szCs w:val="24"/>
        </w:rPr>
      </w:pPr>
      <w:r>
        <w:rPr>
          <w:b/>
          <w:sz w:val="24"/>
          <w:szCs w:val="24"/>
        </w:rPr>
        <w:t>ESTUDO TÉCNICO PRELIMINAR - ETP</w:t>
      </w:r>
    </w:p>
    <w:p>
      <w:pPr>
        <w:suppressAutoHyphens w:val="0"/>
        <w:spacing w:line="276" w:lineRule="auto"/>
        <w:rPr>
          <w:b/>
          <w:sz w:val="24"/>
          <w:szCs w:val="24"/>
        </w:rPr>
      </w:pPr>
    </w:p>
    <w:p>
      <w:pPr>
        <w:spacing w:line="276" w:lineRule="auto"/>
        <w:jc w:val="both"/>
        <w:rPr>
          <w:bCs/>
          <w:sz w:val="24"/>
          <w:szCs w:val="24"/>
        </w:rPr>
      </w:pPr>
      <w:r>
        <w:rPr>
          <w:b/>
          <w:bCs/>
          <w:sz w:val="24"/>
          <w:szCs w:val="24"/>
        </w:rPr>
        <w:t>ÓRGÃOS INTERESSADOS</w:t>
      </w:r>
      <w:r>
        <w:rPr>
          <w:bCs/>
          <w:sz w:val="24"/>
          <w:szCs w:val="24"/>
        </w:rPr>
        <w:t>: Secretária de Educação; Secretaria de Saúde; Secretária do Trabalho e Assistência Social; Secretaria de Finanças.</w:t>
      </w:r>
    </w:p>
    <w:p>
      <w:pPr>
        <w:spacing w:line="276" w:lineRule="auto"/>
        <w:jc w:val="both"/>
        <w:rPr>
          <w:sz w:val="24"/>
          <w:szCs w:val="24"/>
        </w:rPr>
      </w:pPr>
    </w:p>
    <w:p>
      <w:pPr>
        <w:spacing w:line="276" w:lineRule="auto"/>
        <w:jc w:val="both"/>
        <w:rPr>
          <w:b/>
          <w:bCs/>
          <w:sz w:val="24"/>
          <w:szCs w:val="24"/>
        </w:rPr>
      </w:pPr>
      <w:r>
        <w:rPr>
          <w:b/>
          <w:bCs/>
          <w:sz w:val="24"/>
          <w:szCs w:val="24"/>
        </w:rPr>
        <w:t xml:space="preserve">1- DESCRIÇÃO DA NECESSIDADE DA CONTRATAÇÃO, CONSIDERADO O PROBLEMA A SER RESOLVIDO SOB A PERSPECTIVA DO INTERESSE PÚBLICO: </w:t>
      </w:r>
    </w:p>
    <w:p>
      <w:pPr>
        <w:spacing w:line="276" w:lineRule="auto"/>
        <w:ind w:firstLine="851"/>
        <w:jc w:val="both"/>
        <w:rPr>
          <w:sz w:val="24"/>
          <w:szCs w:val="24"/>
        </w:rPr>
      </w:pPr>
      <w:r>
        <w:rPr>
          <w:sz w:val="24"/>
          <w:szCs w:val="24"/>
        </w:rPr>
        <w:t>A contratação de uma empresa especializada na prestação de serviços de assessoria administrativa é imprescindível para o Município de Miraíma/CE, considerando a complexidade e a importância da gestão de convênios e programas firmados com os governos estadual e federal. O município tem como objetivo garantir o correto cumprimento das exigências legais, contratuais e fiscais estabelecidas pelos órgãos competentes, bem como otimizar a captação de recursos financeiros destinados à execução de projetos voltados ao desenvolvimento social, econômico e infraestrutura da cidade.</w:t>
      </w:r>
    </w:p>
    <w:p>
      <w:pPr>
        <w:spacing w:line="276" w:lineRule="auto"/>
        <w:ind w:firstLine="851"/>
        <w:jc w:val="both"/>
        <w:rPr>
          <w:sz w:val="24"/>
          <w:szCs w:val="24"/>
        </w:rPr>
      </w:pPr>
      <w:r>
        <w:rPr>
          <w:sz w:val="24"/>
          <w:szCs w:val="24"/>
        </w:rPr>
        <w:t>A prestação de contas e a elaboração de projetos para captação de recursos demandam expertise técnica, conhecimento das normas e regulamentos dos convênios, além da habilidade de articular com as diversas Secretarias Municipais e os órgãos estaduais e federais. A falta de acompanhamento técnico especializado pode resultar em inadimplência, perda de recursos financeiros ou até mesmo a impossibilidade de acessar novos recursos para projetos essenciais à população de Miraíma.</w:t>
      </w:r>
    </w:p>
    <w:p>
      <w:pPr>
        <w:spacing w:line="276" w:lineRule="auto"/>
        <w:ind w:firstLine="851"/>
        <w:jc w:val="both"/>
        <w:rPr>
          <w:sz w:val="24"/>
          <w:szCs w:val="24"/>
        </w:rPr>
      </w:pPr>
      <w:r>
        <w:rPr>
          <w:sz w:val="24"/>
          <w:szCs w:val="24"/>
        </w:rPr>
        <w:t>Assim, a contratação visa resolver as fragilidades existentes na gestão administrativa de convênios, garantindo maior eficiência e transparência no processo de execução de projetos, com o objetivo de atender as necessidades da população, promover o desenvolvimento local e assegurar a aplicação correta e eficaz dos recursos públicos. A medida também busca proporcionar maior profissionalismo e qualidade na gestão pública, em consonância com os princípios da legalidade, moralidade, eficiência e transparência na administração pública.</w:t>
      </w:r>
    </w:p>
    <w:p>
      <w:pPr>
        <w:spacing w:line="276" w:lineRule="auto"/>
        <w:ind w:firstLine="708"/>
        <w:jc w:val="both"/>
        <w:rPr>
          <w:sz w:val="24"/>
          <w:szCs w:val="24"/>
        </w:rPr>
      </w:pPr>
    </w:p>
    <w:p>
      <w:pPr>
        <w:spacing w:line="276" w:lineRule="auto"/>
        <w:rPr>
          <w:b/>
          <w:bCs/>
          <w:sz w:val="24"/>
          <w:szCs w:val="24"/>
        </w:rPr>
      </w:pPr>
      <w:r>
        <w:rPr>
          <w:b/>
          <w:bCs/>
          <w:sz w:val="24"/>
          <w:szCs w:val="24"/>
        </w:rPr>
        <w:t>2 – PREVISÃO NO PLANO DE CONTRATAÇÃO ANUAL:</w:t>
      </w:r>
    </w:p>
    <w:p>
      <w:pPr>
        <w:spacing w:line="276" w:lineRule="auto"/>
        <w:jc w:val="both"/>
        <w:rPr>
          <w:sz w:val="24"/>
          <w:szCs w:val="24"/>
        </w:rPr>
      </w:pPr>
      <w:r>
        <w:rPr>
          <w:sz w:val="24"/>
          <w:szCs w:val="24"/>
        </w:rPr>
        <w:t>O Plano de Contratação Anual (PCA) de Miraíma/CE está em elaboração, devendo, pois, ser solicitado a inclusão do presente objeto.</w:t>
      </w:r>
    </w:p>
    <w:p>
      <w:pPr>
        <w:spacing w:line="276" w:lineRule="auto"/>
        <w:jc w:val="both"/>
        <w:rPr>
          <w:sz w:val="24"/>
          <w:szCs w:val="24"/>
        </w:rPr>
      </w:pPr>
    </w:p>
    <w:p>
      <w:pPr>
        <w:spacing w:line="276" w:lineRule="auto"/>
        <w:jc w:val="both"/>
        <w:rPr>
          <w:b/>
          <w:sz w:val="24"/>
          <w:szCs w:val="24"/>
        </w:rPr>
      </w:pPr>
      <w:r>
        <w:rPr>
          <w:b/>
          <w:sz w:val="24"/>
          <w:szCs w:val="24"/>
        </w:rPr>
        <w:t>3 – REQUISITOS DA CONTRATAÇÃO</w:t>
      </w:r>
    </w:p>
    <w:p>
      <w:pPr>
        <w:spacing w:line="276" w:lineRule="auto"/>
        <w:jc w:val="both"/>
        <w:rPr>
          <w:sz w:val="24"/>
          <w:szCs w:val="24"/>
        </w:rPr>
      </w:pPr>
      <w:r>
        <w:rPr>
          <w:sz w:val="24"/>
          <w:szCs w:val="24"/>
        </w:rPr>
        <w:t>A contratação da empresa especializada em assessoria administrativa para elaboração de projetos de captação de recursos e prestação de contas de convênios e programas deverá atender aos seguintes requisitos:</w:t>
      </w:r>
    </w:p>
    <w:p>
      <w:pPr>
        <w:numPr>
          <w:ilvl w:val="0"/>
          <w:numId w:val="23"/>
        </w:numPr>
        <w:spacing w:line="276" w:lineRule="auto"/>
        <w:jc w:val="both"/>
        <w:rPr>
          <w:sz w:val="24"/>
          <w:szCs w:val="24"/>
        </w:rPr>
      </w:pPr>
      <w:r>
        <w:rPr>
          <w:b/>
          <w:bCs/>
          <w:sz w:val="24"/>
          <w:szCs w:val="24"/>
        </w:rPr>
        <w:t>Experiência Comprovada:</w:t>
      </w:r>
      <w:r>
        <w:rPr>
          <w:sz w:val="24"/>
          <w:szCs w:val="24"/>
        </w:rPr>
        <w:t xml:space="preserve"> A empresa contratada deverá comprovar experiência na prestação de serviços similares, com ênfase na elaboração e gestão de projetos para captação de recursos junto aos governos estadual e federal, incluindo a execução e a prestação de contas de convênios.</w:t>
      </w:r>
    </w:p>
    <w:p>
      <w:pPr>
        <w:numPr>
          <w:ilvl w:val="0"/>
          <w:numId w:val="23"/>
        </w:numPr>
        <w:spacing w:line="276" w:lineRule="auto"/>
        <w:jc w:val="both"/>
        <w:rPr>
          <w:sz w:val="24"/>
          <w:szCs w:val="24"/>
        </w:rPr>
      </w:pPr>
      <w:r>
        <w:rPr>
          <w:b/>
          <w:bCs/>
          <w:sz w:val="24"/>
          <w:szCs w:val="24"/>
        </w:rPr>
        <w:lastRenderedPageBreak/>
        <w:t>Capacidade Técnica e Profissional:</w:t>
      </w:r>
      <w:r>
        <w:rPr>
          <w:sz w:val="24"/>
          <w:szCs w:val="24"/>
        </w:rPr>
        <w:t xml:space="preserve"> A empresa deverá contar com uma equipe técnica especializada composta por profissionais qualificados, com formação superior e experiência nas áreas de administração pública, direito, contabilidade e gestão de projetos, especialmente no contexto de convênios e transferências voluntárias.</w:t>
      </w:r>
    </w:p>
    <w:p>
      <w:pPr>
        <w:numPr>
          <w:ilvl w:val="0"/>
          <w:numId w:val="23"/>
        </w:numPr>
        <w:spacing w:line="276" w:lineRule="auto"/>
        <w:jc w:val="both"/>
        <w:rPr>
          <w:sz w:val="24"/>
          <w:szCs w:val="24"/>
        </w:rPr>
      </w:pPr>
      <w:r>
        <w:rPr>
          <w:b/>
          <w:bCs/>
          <w:sz w:val="24"/>
          <w:szCs w:val="24"/>
        </w:rPr>
        <w:t>Certificações e Regularidade Fiscal:</w:t>
      </w:r>
      <w:r>
        <w:rPr>
          <w:sz w:val="24"/>
          <w:szCs w:val="24"/>
        </w:rPr>
        <w:t xml:space="preserve"> A empresa contratada deverá apresentar a regularidade fiscal e trabalhista, incluindo certidões negativas de débitos municipais, estaduais e federais, comprovante de regularidade com a Previdência Social (INSS) e com o Fundo de Garantia por Tempo de Serviço (FGTS), além de não possuir pendências no Cadastro de Fornecedores do município.</w:t>
      </w:r>
    </w:p>
    <w:p>
      <w:pPr>
        <w:numPr>
          <w:ilvl w:val="0"/>
          <w:numId w:val="23"/>
        </w:numPr>
        <w:spacing w:line="276" w:lineRule="auto"/>
        <w:jc w:val="both"/>
        <w:rPr>
          <w:sz w:val="24"/>
          <w:szCs w:val="24"/>
        </w:rPr>
      </w:pPr>
      <w:r>
        <w:rPr>
          <w:b/>
          <w:bCs/>
          <w:sz w:val="24"/>
          <w:szCs w:val="24"/>
        </w:rPr>
        <w:t>Metodologia de Trabalho:</w:t>
      </w:r>
      <w:r>
        <w:rPr>
          <w:sz w:val="24"/>
          <w:szCs w:val="24"/>
        </w:rPr>
        <w:t xml:space="preserve"> A empresa deverá apresentar um plano detalhado de trabalho que demonstre a metodologia a ser utilizada na execução dos serviços, incluindo o cronograma de atividades, as etapas do processo de elaboração dos projetos, acompanhamento da execução dos convênios e a prestação de contas, com os prazos e responsáveis definidos.</w:t>
      </w:r>
    </w:p>
    <w:p>
      <w:pPr>
        <w:numPr>
          <w:ilvl w:val="0"/>
          <w:numId w:val="23"/>
        </w:numPr>
        <w:spacing w:line="276" w:lineRule="auto"/>
        <w:jc w:val="both"/>
        <w:rPr>
          <w:sz w:val="24"/>
          <w:szCs w:val="24"/>
        </w:rPr>
      </w:pPr>
      <w:r>
        <w:rPr>
          <w:b/>
          <w:bCs/>
          <w:sz w:val="24"/>
          <w:szCs w:val="24"/>
        </w:rPr>
        <w:t>Capacidade de Gestão e Acompanhamento:</w:t>
      </w:r>
      <w:r>
        <w:rPr>
          <w:sz w:val="24"/>
          <w:szCs w:val="24"/>
        </w:rPr>
        <w:t xml:space="preserve"> A empresa deve demonstrar a capacidade de gestão integrada dos processos, com ferramentas adequadas de acompanhamento e controle, garantindo a transparência e a conformidade com as normativas legais, além de disponibilizar relatórios periódicos para monitoramento da execução dos serviços.</w:t>
      </w:r>
    </w:p>
    <w:p>
      <w:pPr>
        <w:numPr>
          <w:ilvl w:val="0"/>
          <w:numId w:val="23"/>
        </w:numPr>
        <w:spacing w:line="276" w:lineRule="auto"/>
        <w:jc w:val="both"/>
        <w:rPr>
          <w:sz w:val="24"/>
          <w:szCs w:val="24"/>
        </w:rPr>
      </w:pPr>
      <w:r>
        <w:rPr>
          <w:b/>
          <w:bCs/>
          <w:sz w:val="24"/>
          <w:szCs w:val="24"/>
        </w:rPr>
        <w:t>Atendimento e Suporte ao Município:</w:t>
      </w:r>
      <w:r>
        <w:rPr>
          <w:sz w:val="24"/>
          <w:szCs w:val="24"/>
        </w:rPr>
        <w:t xml:space="preserve"> A contratada deverá fornecer atendimento contínuo ao município, com a possibilidade de esclarecer dúvidas, fornecer orientações e apoiar as Secretarias Municipais na execução dos projetos e na gestão das demandas relacionadas aos convênios.</w:t>
      </w:r>
    </w:p>
    <w:p>
      <w:pPr>
        <w:numPr>
          <w:ilvl w:val="0"/>
          <w:numId w:val="23"/>
        </w:numPr>
        <w:spacing w:line="276" w:lineRule="auto"/>
        <w:jc w:val="both"/>
        <w:rPr>
          <w:sz w:val="24"/>
          <w:szCs w:val="24"/>
        </w:rPr>
      </w:pPr>
      <w:r>
        <w:rPr>
          <w:b/>
          <w:bCs/>
          <w:sz w:val="24"/>
          <w:szCs w:val="24"/>
        </w:rPr>
        <w:t>Garantia de Confidencialidade e Segurança:</w:t>
      </w:r>
      <w:r>
        <w:rPr>
          <w:sz w:val="24"/>
          <w:szCs w:val="24"/>
        </w:rPr>
        <w:t xml:space="preserve"> A empresa deverá garantir a confidencialidade das informações relacionadas aos convênios, aos projetos e à gestão pública, adotando medidas de segurança para o armazenamento e processamento de dados sensíveis, conforme a legislação vigente.</w:t>
      </w:r>
    </w:p>
    <w:p>
      <w:pPr>
        <w:numPr>
          <w:ilvl w:val="0"/>
          <w:numId w:val="23"/>
        </w:numPr>
        <w:spacing w:line="276" w:lineRule="auto"/>
        <w:jc w:val="both"/>
        <w:rPr>
          <w:sz w:val="24"/>
          <w:szCs w:val="24"/>
        </w:rPr>
      </w:pPr>
      <w:r>
        <w:rPr>
          <w:b/>
          <w:bCs/>
          <w:sz w:val="24"/>
          <w:szCs w:val="24"/>
        </w:rPr>
        <w:t xml:space="preserve">Seguro de Responsabilidade Civil: </w:t>
      </w:r>
      <w:r>
        <w:rPr>
          <w:sz w:val="24"/>
          <w:szCs w:val="24"/>
        </w:rPr>
        <w:t>A empresa deverá apresentar a contratação de seguro de responsabilidade civil que cubra danos causados durante a execução dos serviços prestados, garantindo a proteção dos interesses do município e dos cidadãos.</w:t>
      </w:r>
    </w:p>
    <w:p>
      <w:pPr>
        <w:spacing w:line="276" w:lineRule="auto"/>
        <w:jc w:val="both"/>
        <w:rPr>
          <w:sz w:val="24"/>
          <w:szCs w:val="24"/>
        </w:rPr>
      </w:pPr>
      <w:r>
        <w:rPr>
          <w:sz w:val="24"/>
          <w:szCs w:val="24"/>
        </w:rPr>
        <w:t>Esses requisitos visam garantir a contratação de uma empresa que possua a competência técnica, capacidade operacional e condições de cumprir com excelência todas as etapas da gestão de convênios, com responsabilidade, transparência e eficiência.</w:t>
      </w:r>
    </w:p>
    <w:p>
      <w:pPr>
        <w:spacing w:line="276" w:lineRule="auto"/>
        <w:jc w:val="both"/>
        <w:rPr>
          <w:b/>
          <w:bCs/>
          <w:sz w:val="24"/>
          <w:szCs w:val="24"/>
        </w:rPr>
      </w:pPr>
    </w:p>
    <w:p>
      <w:pPr>
        <w:spacing w:line="276" w:lineRule="auto"/>
        <w:jc w:val="both"/>
        <w:rPr>
          <w:b/>
          <w:bCs/>
          <w:sz w:val="24"/>
          <w:szCs w:val="24"/>
        </w:rPr>
      </w:pPr>
      <w:r>
        <w:rPr>
          <w:b/>
          <w:bCs/>
          <w:sz w:val="24"/>
          <w:szCs w:val="24"/>
        </w:rPr>
        <w:t>4 – ESTIMATIVA DAS QUANTIDADES:</w:t>
      </w:r>
    </w:p>
    <w:p>
      <w:pPr>
        <w:spacing w:line="276" w:lineRule="auto"/>
        <w:ind w:firstLine="708"/>
        <w:jc w:val="both"/>
        <w:rPr>
          <w:sz w:val="24"/>
          <w:szCs w:val="24"/>
        </w:rPr>
      </w:pPr>
      <w:r>
        <w:rPr>
          <w:sz w:val="24"/>
          <w:szCs w:val="24"/>
        </w:rPr>
        <w:t>A estimativa das quantidades envolve a definição aproximada dos volumes de serviços a serem contratados, com base nas necessidades do Município de Miraíma/CE para a prestação de serviços de assessoria administrativa, elaboração de projetos para captação de recursos e prestação de contas de convênios e programas, conforme planilha abaixo.</w:t>
      </w:r>
    </w:p>
    <w:p>
      <w:pPr>
        <w:spacing w:line="276" w:lineRule="auto"/>
        <w:ind w:firstLine="708"/>
        <w:jc w:val="both"/>
        <w:rPr>
          <w:sz w:val="24"/>
          <w:szCs w:val="24"/>
        </w:rPr>
      </w:pPr>
    </w:p>
    <w:tbl>
      <w:tblPr>
        <w:tblW w:w="8982" w:type="dxa"/>
        <w:jc w:val="center"/>
        <w:tblCellMar>
          <w:left w:w="70" w:type="dxa"/>
          <w:right w:w="70" w:type="dxa"/>
        </w:tblCellMar>
        <w:tblLook w:val="04A0" w:firstRow="1" w:lastRow="0" w:firstColumn="1" w:lastColumn="0" w:noHBand="0" w:noVBand="1"/>
      </w:tblPr>
      <w:tblGrid>
        <w:gridCol w:w="876"/>
        <w:gridCol w:w="6169"/>
        <w:gridCol w:w="870"/>
        <w:gridCol w:w="1067"/>
      </w:tblGrid>
      <w:tr>
        <w:trPr>
          <w:trHeight w:val="477"/>
          <w:jc w:val="center"/>
        </w:trPr>
        <w:tc>
          <w:tcPr>
            <w:tcW w:w="945"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both"/>
              <w:rPr>
                <w:b/>
                <w:bCs/>
                <w:sz w:val="24"/>
                <w:szCs w:val="24"/>
              </w:rPr>
            </w:pPr>
            <w:r>
              <w:rPr>
                <w:b/>
                <w:bCs/>
                <w:sz w:val="24"/>
                <w:szCs w:val="24"/>
              </w:rPr>
              <w:t>ITEM</w:t>
            </w:r>
          </w:p>
        </w:tc>
        <w:tc>
          <w:tcPr>
            <w:tcW w:w="6169" w:type="dxa"/>
            <w:tcBorders>
              <w:top w:val="single" w:sz="4" w:space="0" w:color="auto"/>
              <w:left w:val="single" w:sz="4" w:space="0" w:color="auto"/>
              <w:bottom w:val="single" w:sz="4" w:space="0" w:color="auto"/>
              <w:right w:val="single" w:sz="4" w:space="0" w:color="auto"/>
            </w:tcBorders>
            <w:noWrap/>
            <w:vAlign w:val="center"/>
            <w:hideMark/>
          </w:tcPr>
          <w:p>
            <w:pPr>
              <w:spacing w:line="276" w:lineRule="auto"/>
              <w:jc w:val="both"/>
              <w:rPr>
                <w:b/>
                <w:bCs/>
                <w:sz w:val="24"/>
                <w:szCs w:val="24"/>
              </w:rPr>
            </w:pPr>
            <w:r>
              <w:rPr>
                <w:b/>
                <w:bCs/>
                <w:sz w:val="24"/>
                <w:szCs w:val="24"/>
              </w:rPr>
              <w:t>ESPECIFICAÇÃO</w:t>
            </w:r>
          </w:p>
        </w:tc>
        <w:tc>
          <w:tcPr>
            <w:tcW w:w="870" w:type="dxa"/>
            <w:tcBorders>
              <w:top w:val="single" w:sz="4" w:space="0" w:color="auto"/>
              <w:left w:val="nil"/>
              <w:bottom w:val="single" w:sz="4" w:space="0" w:color="auto"/>
              <w:right w:val="single" w:sz="4" w:space="0" w:color="auto"/>
            </w:tcBorders>
            <w:noWrap/>
            <w:vAlign w:val="center"/>
            <w:hideMark/>
          </w:tcPr>
          <w:p>
            <w:pPr>
              <w:spacing w:line="276" w:lineRule="auto"/>
              <w:jc w:val="both"/>
              <w:rPr>
                <w:b/>
                <w:bCs/>
                <w:sz w:val="24"/>
                <w:szCs w:val="24"/>
              </w:rPr>
            </w:pPr>
            <w:r>
              <w:rPr>
                <w:b/>
                <w:bCs/>
                <w:sz w:val="24"/>
                <w:szCs w:val="24"/>
              </w:rPr>
              <w:t xml:space="preserve">UND </w:t>
            </w:r>
          </w:p>
        </w:tc>
        <w:tc>
          <w:tcPr>
            <w:tcW w:w="998" w:type="dxa"/>
            <w:tcBorders>
              <w:top w:val="single" w:sz="4" w:space="0" w:color="auto"/>
              <w:left w:val="nil"/>
              <w:bottom w:val="single" w:sz="4" w:space="0" w:color="auto"/>
              <w:right w:val="single" w:sz="4" w:space="0" w:color="auto"/>
            </w:tcBorders>
            <w:vAlign w:val="center"/>
            <w:hideMark/>
          </w:tcPr>
          <w:p>
            <w:pPr>
              <w:spacing w:line="276" w:lineRule="auto"/>
              <w:jc w:val="both"/>
              <w:rPr>
                <w:b/>
                <w:bCs/>
                <w:sz w:val="24"/>
                <w:szCs w:val="24"/>
              </w:rPr>
            </w:pPr>
            <w:r>
              <w:rPr>
                <w:b/>
                <w:bCs/>
                <w:sz w:val="24"/>
                <w:szCs w:val="24"/>
              </w:rPr>
              <w:t>QUANT.</w:t>
            </w:r>
          </w:p>
        </w:tc>
      </w:tr>
      <w:tr>
        <w:trPr>
          <w:trHeight w:val="260"/>
          <w:jc w:val="center"/>
        </w:trPr>
        <w:tc>
          <w:tcPr>
            <w:tcW w:w="945"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sz w:val="24"/>
                <w:szCs w:val="24"/>
              </w:rPr>
            </w:pPr>
            <w:r>
              <w:rPr>
                <w:sz w:val="24"/>
                <w:szCs w:val="24"/>
              </w:rPr>
              <w:lastRenderedPageBreak/>
              <w:t>01</w:t>
            </w:r>
          </w:p>
        </w:tc>
        <w:tc>
          <w:tcPr>
            <w:tcW w:w="6169" w:type="dxa"/>
            <w:tcBorders>
              <w:top w:val="single" w:sz="4" w:space="0" w:color="auto"/>
              <w:left w:val="single" w:sz="4" w:space="0" w:color="auto"/>
              <w:bottom w:val="single" w:sz="4" w:space="0" w:color="auto"/>
              <w:right w:val="single" w:sz="4" w:space="0" w:color="auto"/>
            </w:tcBorders>
            <w:noWrap/>
            <w:vAlign w:val="center"/>
            <w:hideMark/>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Educação do Município de Miraíma/CE</w:t>
            </w:r>
          </w:p>
        </w:tc>
        <w:tc>
          <w:tcPr>
            <w:tcW w:w="870" w:type="dxa"/>
            <w:tcBorders>
              <w:top w:val="single" w:sz="4" w:space="0" w:color="auto"/>
              <w:left w:val="nil"/>
              <w:bottom w:val="single" w:sz="4" w:space="0" w:color="auto"/>
              <w:right w:val="single" w:sz="4" w:space="0" w:color="auto"/>
            </w:tcBorders>
            <w:noWrap/>
            <w:vAlign w:val="center"/>
            <w:hideMark/>
          </w:tcPr>
          <w:p>
            <w:pPr>
              <w:spacing w:line="276" w:lineRule="auto"/>
              <w:jc w:val="both"/>
              <w:rPr>
                <w:sz w:val="24"/>
                <w:szCs w:val="24"/>
              </w:rPr>
            </w:pPr>
            <w:r>
              <w:rPr>
                <w:sz w:val="24"/>
                <w:szCs w:val="24"/>
              </w:rPr>
              <w:t>Mês</w:t>
            </w:r>
          </w:p>
        </w:tc>
        <w:tc>
          <w:tcPr>
            <w:tcW w:w="998" w:type="dxa"/>
            <w:tcBorders>
              <w:top w:val="single" w:sz="4" w:space="0" w:color="auto"/>
              <w:left w:val="nil"/>
              <w:bottom w:val="single" w:sz="4" w:space="0" w:color="auto"/>
              <w:right w:val="single" w:sz="4" w:space="0" w:color="auto"/>
            </w:tcBorders>
            <w:vAlign w:val="center"/>
            <w:hideMark/>
          </w:tcPr>
          <w:p>
            <w:pPr>
              <w:spacing w:line="276" w:lineRule="auto"/>
              <w:jc w:val="both"/>
              <w:rPr>
                <w:sz w:val="24"/>
                <w:szCs w:val="24"/>
              </w:rPr>
            </w:pPr>
            <w:r>
              <w:rPr>
                <w:sz w:val="24"/>
                <w:szCs w:val="24"/>
              </w:rPr>
              <w:t>12</w:t>
            </w:r>
          </w:p>
        </w:tc>
      </w:tr>
      <w:tr>
        <w:trPr>
          <w:trHeight w:val="260"/>
          <w:jc w:val="center"/>
        </w:trPr>
        <w:tc>
          <w:tcPr>
            <w:tcW w:w="945"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sz w:val="24"/>
                <w:szCs w:val="24"/>
              </w:rPr>
            </w:pPr>
            <w:r>
              <w:rPr>
                <w:sz w:val="24"/>
                <w:szCs w:val="24"/>
              </w:rPr>
              <w:t>02</w:t>
            </w:r>
          </w:p>
        </w:tc>
        <w:tc>
          <w:tcPr>
            <w:tcW w:w="6169" w:type="dxa"/>
            <w:tcBorders>
              <w:top w:val="single" w:sz="4" w:space="0" w:color="auto"/>
              <w:left w:val="single" w:sz="4" w:space="0" w:color="auto"/>
              <w:bottom w:val="single" w:sz="4" w:space="0" w:color="auto"/>
              <w:right w:val="single" w:sz="4" w:space="0" w:color="auto"/>
            </w:tcBorders>
            <w:noWrap/>
            <w:vAlign w:val="center"/>
            <w:hideMark/>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Saúde do Município de Miraíma/CE</w:t>
            </w:r>
          </w:p>
        </w:tc>
        <w:tc>
          <w:tcPr>
            <w:tcW w:w="870" w:type="dxa"/>
            <w:tcBorders>
              <w:top w:val="single" w:sz="4" w:space="0" w:color="auto"/>
              <w:left w:val="nil"/>
              <w:bottom w:val="single" w:sz="4" w:space="0" w:color="auto"/>
              <w:right w:val="single" w:sz="4" w:space="0" w:color="auto"/>
            </w:tcBorders>
            <w:noWrap/>
            <w:vAlign w:val="center"/>
            <w:hideMark/>
          </w:tcPr>
          <w:p>
            <w:pPr>
              <w:spacing w:line="276" w:lineRule="auto"/>
              <w:jc w:val="both"/>
              <w:rPr>
                <w:sz w:val="24"/>
                <w:szCs w:val="24"/>
              </w:rPr>
            </w:pPr>
            <w:r>
              <w:rPr>
                <w:sz w:val="24"/>
                <w:szCs w:val="24"/>
              </w:rPr>
              <w:t>Mês</w:t>
            </w:r>
          </w:p>
        </w:tc>
        <w:tc>
          <w:tcPr>
            <w:tcW w:w="998" w:type="dxa"/>
            <w:tcBorders>
              <w:top w:val="single" w:sz="4" w:space="0" w:color="auto"/>
              <w:left w:val="nil"/>
              <w:bottom w:val="single" w:sz="4" w:space="0" w:color="auto"/>
              <w:right w:val="single" w:sz="4" w:space="0" w:color="auto"/>
            </w:tcBorders>
            <w:vAlign w:val="center"/>
            <w:hideMark/>
          </w:tcPr>
          <w:p>
            <w:pPr>
              <w:spacing w:line="276" w:lineRule="auto"/>
              <w:jc w:val="both"/>
              <w:rPr>
                <w:sz w:val="24"/>
                <w:szCs w:val="24"/>
              </w:rPr>
            </w:pPr>
            <w:r>
              <w:rPr>
                <w:sz w:val="24"/>
                <w:szCs w:val="24"/>
              </w:rPr>
              <w:t>12</w:t>
            </w:r>
          </w:p>
        </w:tc>
      </w:tr>
      <w:tr>
        <w:trPr>
          <w:trHeight w:val="260"/>
          <w:jc w:val="center"/>
        </w:trPr>
        <w:tc>
          <w:tcPr>
            <w:tcW w:w="945"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sz w:val="24"/>
                <w:szCs w:val="24"/>
              </w:rPr>
            </w:pPr>
            <w:r>
              <w:rPr>
                <w:sz w:val="24"/>
                <w:szCs w:val="24"/>
              </w:rPr>
              <w:t>03</w:t>
            </w:r>
          </w:p>
        </w:tc>
        <w:tc>
          <w:tcPr>
            <w:tcW w:w="6169" w:type="dxa"/>
            <w:tcBorders>
              <w:top w:val="single" w:sz="4" w:space="0" w:color="auto"/>
              <w:left w:val="single" w:sz="4" w:space="0" w:color="auto"/>
              <w:bottom w:val="single" w:sz="4" w:space="0" w:color="auto"/>
              <w:right w:val="single" w:sz="4" w:space="0" w:color="auto"/>
            </w:tcBorders>
            <w:noWrap/>
            <w:vAlign w:val="center"/>
            <w:hideMark/>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do Trabalho e Assistência Social do Município de Miraíma/CE</w:t>
            </w:r>
          </w:p>
        </w:tc>
        <w:tc>
          <w:tcPr>
            <w:tcW w:w="870" w:type="dxa"/>
            <w:tcBorders>
              <w:top w:val="single" w:sz="4" w:space="0" w:color="auto"/>
              <w:left w:val="nil"/>
              <w:bottom w:val="single" w:sz="4" w:space="0" w:color="auto"/>
              <w:right w:val="single" w:sz="4" w:space="0" w:color="auto"/>
            </w:tcBorders>
            <w:noWrap/>
            <w:vAlign w:val="center"/>
            <w:hideMark/>
          </w:tcPr>
          <w:p>
            <w:pPr>
              <w:spacing w:line="276" w:lineRule="auto"/>
              <w:jc w:val="both"/>
              <w:rPr>
                <w:sz w:val="24"/>
                <w:szCs w:val="24"/>
              </w:rPr>
            </w:pPr>
            <w:r>
              <w:rPr>
                <w:sz w:val="24"/>
                <w:szCs w:val="24"/>
              </w:rPr>
              <w:t>Mês</w:t>
            </w:r>
          </w:p>
        </w:tc>
        <w:tc>
          <w:tcPr>
            <w:tcW w:w="998" w:type="dxa"/>
            <w:tcBorders>
              <w:top w:val="single" w:sz="4" w:space="0" w:color="auto"/>
              <w:left w:val="nil"/>
              <w:bottom w:val="single" w:sz="4" w:space="0" w:color="auto"/>
              <w:right w:val="single" w:sz="4" w:space="0" w:color="auto"/>
            </w:tcBorders>
            <w:vAlign w:val="center"/>
            <w:hideMark/>
          </w:tcPr>
          <w:p>
            <w:pPr>
              <w:spacing w:line="276" w:lineRule="auto"/>
              <w:jc w:val="both"/>
              <w:rPr>
                <w:sz w:val="24"/>
                <w:szCs w:val="24"/>
              </w:rPr>
            </w:pPr>
            <w:r>
              <w:rPr>
                <w:sz w:val="24"/>
                <w:szCs w:val="24"/>
              </w:rPr>
              <w:t>12</w:t>
            </w:r>
          </w:p>
        </w:tc>
      </w:tr>
      <w:tr>
        <w:trPr>
          <w:trHeight w:val="260"/>
          <w:jc w:val="center"/>
        </w:trPr>
        <w:tc>
          <w:tcPr>
            <w:tcW w:w="945"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sz w:val="24"/>
                <w:szCs w:val="24"/>
              </w:rPr>
            </w:pPr>
            <w:r>
              <w:rPr>
                <w:sz w:val="24"/>
                <w:szCs w:val="24"/>
              </w:rPr>
              <w:t>04</w:t>
            </w:r>
          </w:p>
        </w:tc>
        <w:tc>
          <w:tcPr>
            <w:tcW w:w="6169" w:type="dxa"/>
            <w:tcBorders>
              <w:top w:val="single" w:sz="4" w:space="0" w:color="auto"/>
              <w:left w:val="single" w:sz="4" w:space="0" w:color="auto"/>
              <w:bottom w:val="single" w:sz="4" w:space="0" w:color="auto"/>
              <w:right w:val="single" w:sz="4" w:space="0" w:color="auto"/>
            </w:tcBorders>
            <w:noWrap/>
            <w:vAlign w:val="center"/>
            <w:hideMark/>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Finanças do Município de Miraíma/CE</w:t>
            </w:r>
          </w:p>
        </w:tc>
        <w:tc>
          <w:tcPr>
            <w:tcW w:w="870" w:type="dxa"/>
            <w:tcBorders>
              <w:top w:val="single" w:sz="4" w:space="0" w:color="auto"/>
              <w:left w:val="nil"/>
              <w:bottom w:val="single" w:sz="4" w:space="0" w:color="auto"/>
              <w:right w:val="single" w:sz="4" w:space="0" w:color="auto"/>
            </w:tcBorders>
            <w:noWrap/>
            <w:vAlign w:val="center"/>
            <w:hideMark/>
          </w:tcPr>
          <w:p>
            <w:pPr>
              <w:spacing w:line="276" w:lineRule="auto"/>
              <w:jc w:val="both"/>
              <w:rPr>
                <w:sz w:val="24"/>
                <w:szCs w:val="24"/>
              </w:rPr>
            </w:pPr>
            <w:r>
              <w:rPr>
                <w:sz w:val="24"/>
                <w:szCs w:val="24"/>
              </w:rPr>
              <w:t>Mês</w:t>
            </w:r>
          </w:p>
        </w:tc>
        <w:tc>
          <w:tcPr>
            <w:tcW w:w="998" w:type="dxa"/>
            <w:tcBorders>
              <w:top w:val="single" w:sz="4" w:space="0" w:color="auto"/>
              <w:left w:val="nil"/>
              <w:bottom w:val="single" w:sz="4" w:space="0" w:color="auto"/>
              <w:right w:val="single" w:sz="4" w:space="0" w:color="auto"/>
            </w:tcBorders>
            <w:vAlign w:val="center"/>
            <w:hideMark/>
          </w:tcPr>
          <w:p>
            <w:pPr>
              <w:spacing w:line="276" w:lineRule="auto"/>
              <w:jc w:val="both"/>
              <w:rPr>
                <w:sz w:val="24"/>
                <w:szCs w:val="24"/>
              </w:rPr>
            </w:pPr>
            <w:r>
              <w:rPr>
                <w:sz w:val="24"/>
                <w:szCs w:val="24"/>
              </w:rPr>
              <w:t>12</w:t>
            </w:r>
          </w:p>
        </w:tc>
      </w:tr>
    </w:tbl>
    <w:p>
      <w:pPr>
        <w:spacing w:line="276" w:lineRule="auto"/>
        <w:jc w:val="both"/>
        <w:rPr>
          <w:b/>
          <w:bCs/>
          <w:sz w:val="24"/>
          <w:szCs w:val="24"/>
        </w:rPr>
      </w:pPr>
    </w:p>
    <w:p>
      <w:pPr>
        <w:spacing w:line="276" w:lineRule="auto"/>
        <w:jc w:val="both"/>
        <w:rPr>
          <w:b/>
          <w:bCs/>
          <w:sz w:val="24"/>
          <w:szCs w:val="24"/>
        </w:rPr>
      </w:pPr>
      <w:r>
        <w:rPr>
          <w:b/>
          <w:bCs/>
          <w:sz w:val="24"/>
          <w:szCs w:val="24"/>
        </w:rPr>
        <w:t>5 – LEVANTAMENTO DE MERCADO E JUSTIFICATIVA DA ESCOLHA DO TIPO DE SOLUÇÃO A CONTRATAR:</w:t>
      </w:r>
    </w:p>
    <w:p>
      <w:pPr>
        <w:spacing w:line="276" w:lineRule="auto"/>
        <w:ind w:firstLine="708"/>
        <w:jc w:val="both"/>
        <w:rPr>
          <w:sz w:val="24"/>
          <w:szCs w:val="24"/>
        </w:rPr>
      </w:pPr>
      <w:r>
        <w:rPr>
          <w:sz w:val="24"/>
          <w:szCs w:val="24"/>
        </w:rPr>
        <w:t>Para a execução dos serviços de assessoria administrativa, elaboração de projetos para captação de recursos e prestação de contas de convênios e programas, foram analisadas duas alternativas:</w:t>
      </w:r>
    </w:p>
    <w:p>
      <w:pPr>
        <w:spacing w:line="276" w:lineRule="auto"/>
        <w:ind w:firstLine="708"/>
        <w:jc w:val="both"/>
        <w:rPr>
          <w:b/>
          <w:bCs/>
          <w:sz w:val="24"/>
          <w:szCs w:val="24"/>
        </w:rPr>
      </w:pPr>
      <w:r>
        <w:rPr>
          <w:b/>
          <w:bCs/>
          <w:sz w:val="24"/>
          <w:szCs w:val="24"/>
        </w:rPr>
        <w:t>Alternativa 1: Contratação de Empresa Especializada</w:t>
      </w:r>
    </w:p>
    <w:p>
      <w:pPr>
        <w:spacing w:line="276" w:lineRule="auto"/>
        <w:ind w:firstLine="708"/>
        <w:jc w:val="both"/>
        <w:rPr>
          <w:sz w:val="24"/>
          <w:szCs w:val="24"/>
        </w:rPr>
      </w:pPr>
      <w:r>
        <w:rPr>
          <w:b/>
          <w:bCs/>
          <w:sz w:val="24"/>
          <w:szCs w:val="24"/>
        </w:rPr>
        <w:t>Vantagens:</w:t>
      </w:r>
    </w:p>
    <w:p>
      <w:pPr>
        <w:numPr>
          <w:ilvl w:val="0"/>
          <w:numId w:val="24"/>
        </w:numPr>
        <w:spacing w:line="276" w:lineRule="auto"/>
        <w:jc w:val="both"/>
        <w:rPr>
          <w:sz w:val="24"/>
          <w:szCs w:val="24"/>
        </w:rPr>
      </w:pPr>
      <w:r>
        <w:rPr>
          <w:b/>
          <w:bCs/>
          <w:sz w:val="24"/>
          <w:szCs w:val="24"/>
        </w:rPr>
        <w:t>Expertise Técnica</w:t>
      </w:r>
      <w:r>
        <w:rPr>
          <w:sz w:val="24"/>
          <w:szCs w:val="24"/>
        </w:rPr>
        <w:t>: A contratação de uma empresa especializada garante que os serviços sejam executados por profissionais com experiência e conhecimento específico nas áreas de elaboração de projetos, gestão de convênios e prestação de contas. Empresas com essa especialização já possuem know-how sobre as normativas exigidas pelos governos federal e estadual, além de ter maior familiaridade com os procedimentos e processos burocráticos envolvidos.</w:t>
      </w:r>
    </w:p>
    <w:p>
      <w:pPr>
        <w:numPr>
          <w:ilvl w:val="0"/>
          <w:numId w:val="24"/>
        </w:numPr>
        <w:spacing w:line="276" w:lineRule="auto"/>
        <w:jc w:val="both"/>
        <w:rPr>
          <w:sz w:val="24"/>
          <w:szCs w:val="24"/>
        </w:rPr>
      </w:pPr>
      <w:r>
        <w:rPr>
          <w:b/>
          <w:bCs/>
          <w:sz w:val="24"/>
          <w:szCs w:val="24"/>
        </w:rPr>
        <w:t>Eficiência e Qualidade</w:t>
      </w:r>
      <w:r>
        <w:rPr>
          <w:sz w:val="24"/>
          <w:szCs w:val="24"/>
        </w:rPr>
        <w:t>: Empresas especializadas são capazes de fornecer soluções mais rápidas e com maior qualidade, visto que já possuem processos e metodologias estabelecidas para o atendimento das demandas relacionadas à execução e prestação de contas de convênios, diminuindo a chance de erros ou atrasos.</w:t>
      </w:r>
    </w:p>
    <w:p>
      <w:pPr>
        <w:numPr>
          <w:ilvl w:val="0"/>
          <w:numId w:val="24"/>
        </w:numPr>
        <w:spacing w:line="276" w:lineRule="auto"/>
        <w:jc w:val="both"/>
        <w:rPr>
          <w:sz w:val="24"/>
          <w:szCs w:val="24"/>
        </w:rPr>
      </w:pPr>
      <w:r>
        <w:rPr>
          <w:b/>
          <w:bCs/>
          <w:sz w:val="24"/>
          <w:szCs w:val="24"/>
        </w:rPr>
        <w:lastRenderedPageBreak/>
        <w:t>Capacidade de Gestão de Volume de Trabalho</w:t>
      </w:r>
      <w:r>
        <w:rPr>
          <w:sz w:val="24"/>
          <w:szCs w:val="24"/>
        </w:rPr>
        <w:t>: A empresa poderá lidar com um maior volume de trabalho, de acordo com a quantidade de convênios e projetos em execução, sem sobrecarregar a estrutura administrativa do município.</w:t>
      </w:r>
    </w:p>
    <w:p>
      <w:pPr>
        <w:numPr>
          <w:ilvl w:val="0"/>
          <w:numId w:val="24"/>
        </w:numPr>
        <w:spacing w:line="276" w:lineRule="auto"/>
        <w:jc w:val="both"/>
        <w:rPr>
          <w:sz w:val="24"/>
          <w:szCs w:val="24"/>
        </w:rPr>
      </w:pPr>
      <w:r>
        <w:rPr>
          <w:b/>
          <w:bCs/>
          <w:sz w:val="24"/>
          <w:szCs w:val="24"/>
        </w:rPr>
        <w:t>Transparência e Conformidade Legal</w:t>
      </w:r>
      <w:r>
        <w:rPr>
          <w:sz w:val="24"/>
          <w:szCs w:val="24"/>
        </w:rPr>
        <w:t>: As empresas especializadas, muitas vezes, têm a obrigação de se manter atualizadas com as legislações pertinentes e as exigências dos órgãos fiscalizadores, garantindo maior conformidade legal e maior transparência nos processos.</w:t>
      </w:r>
    </w:p>
    <w:p>
      <w:pPr>
        <w:numPr>
          <w:ilvl w:val="0"/>
          <w:numId w:val="24"/>
        </w:numPr>
        <w:spacing w:line="276" w:lineRule="auto"/>
        <w:jc w:val="both"/>
        <w:rPr>
          <w:sz w:val="24"/>
          <w:szCs w:val="24"/>
        </w:rPr>
      </w:pPr>
      <w:r>
        <w:rPr>
          <w:b/>
          <w:bCs/>
          <w:sz w:val="24"/>
          <w:szCs w:val="24"/>
        </w:rPr>
        <w:t>Redução de Custos Operacionais</w:t>
      </w:r>
      <w:r>
        <w:rPr>
          <w:sz w:val="24"/>
          <w:szCs w:val="24"/>
        </w:rPr>
        <w:t>: Contratar uma empresa especializada pode ser mais econômico a longo prazo, uma vez que o município não precisaria investir na capacitação e infraestrutura necessária para a execução dessas atividades internamente.</w:t>
      </w:r>
    </w:p>
    <w:p>
      <w:pPr>
        <w:spacing w:line="276" w:lineRule="auto"/>
        <w:ind w:firstLine="708"/>
        <w:jc w:val="both"/>
        <w:rPr>
          <w:sz w:val="24"/>
          <w:szCs w:val="24"/>
        </w:rPr>
      </w:pPr>
      <w:r>
        <w:rPr>
          <w:b/>
          <w:bCs/>
          <w:sz w:val="24"/>
          <w:szCs w:val="24"/>
        </w:rPr>
        <w:t>Desvantagens:</w:t>
      </w:r>
    </w:p>
    <w:p>
      <w:pPr>
        <w:numPr>
          <w:ilvl w:val="0"/>
          <w:numId w:val="25"/>
        </w:numPr>
        <w:spacing w:line="276" w:lineRule="auto"/>
        <w:jc w:val="both"/>
        <w:rPr>
          <w:sz w:val="24"/>
          <w:szCs w:val="24"/>
        </w:rPr>
      </w:pPr>
      <w:r>
        <w:rPr>
          <w:b/>
          <w:bCs/>
          <w:sz w:val="24"/>
          <w:szCs w:val="24"/>
        </w:rPr>
        <w:t>Custos do Contrato</w:t>
      </w:r>
      <w:r>
        <w:rPr>
          <w:sz w:val="24"/>
          <w:szCs w:val="24"/>
        </w:rPr>
        <w:t>: A contratação de uma empresa pode apresentar custos maiores, dependendo do porte e da complexidade dos serviços demandados. Embora a longo prazo possa ser mais econômico, o custo inicial de contratação deve ser considerado no orçamento.</w:t>
      </w:r>
    </w:p>
    <w:p>
      <w:pPr>
        <w:numPr>
          <w:ilvl w:val="0"/>
          <w:numId w:val="25"/>
        </w:numPr>
        <w:spacing w:line="276" w:lineRule="auto"/>
        <w:jc w:val="both"/>
        <w:rPr>
          <w:sz w:val="24"/>
          <w:szCs w:val="24"/>
        </w:rPr>
      </w:pPr>
      <w:r>
        <w:rPr>
          <w:b/>
          <w:bCs/>
          <w:sz w:val="24"/>
          <w:szCs w:val="24"/>
        </w:rPr>
        <w:t>Menor Controle Direto</w:t>
      </w:r>
      <w:r>
        <w:rPr>
          <w:sz w:val="24"/>
          <w:szCs w:val="24"/>
        </w:rPr>
        <w:t>: A gestão dos serviços ficará sob a responsabilidade da empresa contratada, o que pode resultar em uma redução do controle direto sobre o andamento das atividades, caso o acompanhamento e monitoramento não sejam bem estruturados.</w:t>
      </w:r>
    </w:p>
    <w:p>
      <w:pPr>
        <w:spacing w:line="276" w:lineRule="auto"/>
        <w:ind w:firstLine="708"/>
        <w:jc w:val="both"/>
        <w:rPr>
          <w:b/>
          <w:bCs/>
          <w:sz w:val="24"/>
          <w:szCs w:val="24"/>
        </w:rPr>
      </w:pPr>
      <w:r>
        <w:rPr>
          <w:b/>
          <w:bCs/>
          <w:sz w:val="24"/>
          <w:szCs w:val="24"/>
        </w:rPr>
        <w:t>Alternativa 2: Execução Direta pelos Servidores da Prefeitura</w:t>
      </w:r>
    </w:p>
    <w:p>
      <w:pPr>
        <w:spacing w:line="276" w:lineRule="auto"/>
        <w:ind w:firstLine="708"/>
        <w:jc w:val="both"/>
        <w:rPr>
          <w:sz w:val="24"/>
          <w:szCs w:val="24"/>
        </w:rPr>
      </w:pPr>
      <w:r>
        <w:rPr>
          <w:b/>
          <w:bCs/>
          <w:sz w:val="24"/>
          <w:szCs w:val="24"/>
        </w:rPr>
        <w:t>Vantagens:</w:t>
      </w:r>
    </w:p>
    <w:p>
      <w:pPr>
        <w:numPr>
          <w:ilvl w:val="0"/>
          <w:numId w:val="26"/>
        </w:numPr>
        <w:spacing w:line="276" w:lineRule="auto"/>
        <w:jc w:val="both"/>
        <w:rPr>
          <w:sz w:val="24"/>
          <w:szCs w:val="24"/>
        </w:rPr>
      </w:pPr>
      <w:r>
        <w:rPr>
          <w:b/>
          <w:bCs/>
          <w:sz w:val="24"/>
          <w:szCs w:val="24"/>
        </w:rPr>
        <w:t>Controle Total sobre o Processo</w:t>
      </w:r>
      <w:r>
        <w:rPr>
          <w:sz w:val="24"/>
          <w:szCs w:val="24"/>
        </w:rPr>
        <w:t>: Ao executar os serviços diretamente, o município teria total controle sobre o andamento das atividades, sem depender de uma terceira parte. Isso pode garantir maior agilidade e ajuste fino nos processos, conforme as necessidades específicas de cada convênio.</w:t>
      </w:r>
    </w:p>
    <w:p>
      <w:pPr>
        <w:numPr>
          <w:ilvl w:val="0"/>
          <w:numId w:val="26"/>
        </w:numPr>
        <w:spacing w:line="276" w:lineRule="auto"/>
        <w:jc w:val="both"/>
        <w:rPr>
          <w:sz w:val="24"/>
          <w:szCs w:val="24"/>
        </w:rPr>
      </w:pPr>
      <w:r>
        <w:rPr>
          <w:b/>
          <w:bCs/>
          <w:sz w:val="24"/>
          <w:szCs w:val="24"/>
        </w:rPr>
        <w:t>Custos Menores</w:t>
      </w:r>
      <w:r>
        <w:rPr>
          <w:sz w:val="24"/>
          <w:szCs w:val="24"/>
        </w:rPr>
        <w:t>: Não haverá a necessidade de contratação de uma empresa, o que pode resultar em uma redução significativa nos custos diretos com a contratação externa. O uso da estrutura interna pode ser visto como uma forma de otimizar os recursos disponíveis.</w:t>
      </w:r>
    </w:p>
    <w:p>
      <w:pPr>
        <w:numPr>
          <w:ilvl w:val="0"/>
          <w:numId w:val="26"/>
        </w:numPr>
        <w:spacing w:line="276" w:lineRule="auto"/>
        <w:jc w:val="both"/>
        <w:rPr>
          <w:sz w:val="24"/>
          <w:szCs w:val="24"/>
        </w:rPr>
      </w:pPr>
      <w:r>
        <w:rPr>
          <w:b/>
          <w:bCs/>
          <w:sz w:val="24"/>
          <w:szCs w:val="24"/>
        </w:rPr>
        <w:t>Desenvolvimento de Capacidades Internas</w:t>
      </w:r>
      <w:r>
        <w:rPr>
          <w:sz w:val="24"/>
          <w:szCs w:val="24"/>
        </w:rPr>
        <w:t>: A execução direta proporciona uma oportunidade de capacitar e fortalecer a equipe interna da prefeitura, permitindo o desenvolvimento de competências para a gestão de convênios e projetos, o que pode ser vantajoso no longo prazo.</w:t>
      </w:r>
    </w:p>
    <w:p>
      <w:pPr>
        <w:spacing w:line="276" w:lineRule="auto"/>
        <w:ind w:firstLine="708"/>
        <w:jc w:val="both"/>
        <w:rPr>
          <w:sz w:val="24"/>
          <w:szCs w:val="24"/>
        </w:rPr>
      </w:pPr>
      <w:r>
        <w:rPr>
          <w:b/>
          <w:bCs/>
          <w:sz w:val="24"/>
          <w:szCs w:val="24"/>
        </w:rPr>
        <w:t>Desvantagens:</w:t>
      </w:r>
    </w:p>
    <w:p>
      <w:pPr>
        <w:numPr>
          <w:ilvl w:val="0"/>
          <w:numId w:val="27"/>
        </w:numPr>
        <w:spacing w:line="276" w:lineRule="auto"/>
        <w:jc w:val="both"/>
        <w:rPr>
          <w:sz w:val="24"/>
          <w:szCs w:val="24"/>
        </w:rPr>
      </w:pPr>
      <w:r>
        <w:rPr>
          <w:b/>
          <w:bCs/>
          <w:sz w:val="24"/>
          <w:szCs w:val="24"/>
        </w:rPr>
        <w:t>Falta de Especialização</w:t>
      </w:r>
      <w:r>
        <w:rPr>
          <w:sz w:val="24"/>
          <w:szCs w:val="24"/>
        </w:rPr>
        <w:t>: A equipe interna da prefeitura pode não possuir o nível de especialização necessária para lidar com todos os aspectos técnicos e legais envolvidos na elaboração de projetos, captação de recursos e prestação de contas de convênios, o que pode levar a erros, dificuldades na execução e atrasos no processo.</w:t>
      </w:r>
    </w:p>
    <w:p>
      <w:pPr>
        <w:numPr>
          <w:ilvl w:val="0"/>
          <w:numId w:val="27"/>
        </w:numPr>
        <w:spacing w:line="276" w:lineRule="auto"/>
        <w:jc w:val="both"/>
        <w:rPr>
          <w:sz w:val="24"/>
          <w:szCs w:val="24"/>
        </w:rPr>
      </w:pPr>
      <w:r>
        <w:rPr>
          <w:b/>
          <w:bCs/>
          <w:sz w:val="24"/>
          <w:szCs w:val="24"/>
        </w:rPr>
        <w:t>Sobrecarga de Trabalho para os Servidores</w:t>
      </w:r>
      <w:r>
        <w:rPr>
          <w:sz w:val="24"/>
          <w:szCs w:val="24"/>
        </w:rPr>
        <w:t>: A equipe administrativa da prefeitura já possui outras atribuições e responsabilidades, e a execução direta dos serviços pode gerar sobrecarga de trabalho, prejudicando a qualidade do serviço e o cumprimento de prazos.</w:t>
      </w:r>
    </w:p>
    <w:p>
      <w:pPr>
        <w:numPr>
          <w:ilvl w:val="0"/>
          <w:numId w:val="27"/>
        </w:numPr>
        <w:spacing w:line="276" w:lineRule="auto"/>
        <w:jc w:val="both"/>
        <w:rPr>
          <w:sz w:val="24"/>
          <w:szCs w:val="24"/>
        </w:rPr>
      </w:pPr>
      <w:r>
        <w:rPr>
          <w:b/>
          <w:bCs/>
          <w:sz w:val="24"/>
          <w:szCs w:val="24"/>
        </w:rPr>
        <w:lastRenderedPageBreak/>
        <w:t>Necessidade de Capacitação Constante</w:t>
      </w:r>
      <w:r>
        <w:rPr>
          <w:sz w:val="24"/>
          <w:szCs w:val="24"/>
        </w:rPr>
        <w:t>: Embora a execução interna permita o desenvolvimento das capacidades da equipe, isso exigiria constante capacitação, treinamento e atualização sobre as legislações vigentes, o que demandaria recursos adicionais e tempo.</w:t>
      </w:r>
    </w:p>
    <w:p>
      <w:pPr>
        <w:numPr>
          <w:ilvl w:val="0"/>
          <w:numId w:val="27"/>
        </w:numPr>
        <w:spacing w:line="276" w:lineRule="auto"/>
        <w:jc w:val="both"/>
        <w:rPr>
          <w:sz w:val="24"/>
          <w:szCs w:val="24"/>
        </w:rPr>
      </w:pPr>
      <w:r>
        <w:rPr>
          <w:b/>
          <w:bCs/>
          <w:sz w:val="24"/>
          <w:szCs w:val="24"/>
        </w:rPr>
        <w:t>Possível Dificuldade de Acompanhamento</w:t>
      </w:r>
      <w:r>
        <w:rPr>
          <w:sz w:val="24"/>
          <w:szCs w:val="24"/>
        </w:rPr>
        <w:t>: A complexidade da gestão de múltiplos convênios e projetos exige um acompanhamento contínuo e detalhado, o que pode ser desafiador para os servidores municipais sem a estrutura de apoio especializada. Além disso, a prefeitura poderia enfrentar dificuldades em garantir o cumprimento rigoroso de todas as exigências legais e burocráticas.</w:t>
      </w:r>
    </w:p>
    <w:p>
      <w:pPr>
        <w:spacing w:line="276" w:lineRule="auto"/>
        <w:ind w:firstLine="708"/>
        <w:jc w:val="both"/>
        <w:rPr>
          <w:b/>
          <w:bCs/>
          <w:sz w:val="24"/>
          <w:szCs w:val="24"/>
        </w:rPr>
      </w:pPr>
      <w:r>
        <w:rPr>
          <w:b/>
          <w:bCs/>
          <w:sz w:val="24"/>
          <w:szCs w:val="24"/>
        </w:rPr>
        <w:t>Justificativa da Escolha da Solução a Contratar:</w:t>
      </w:r>
    </w:p>
    <w:p>
      <w:pPr>
        <w:spacing w:line="276" w:lineRule="auto"/>
        <w:ind w:firstLine="708"/>
        <w:jc w:val="both"/>
        <w:rPr>
          <w:sz w:val="24"/>
          <w:szCs w:val="24"/>
        </w:rPr>
      </w:pPr>
      <w:r>
        <w:rPr>
          <w:sz w:val="24"/>
          <w:szCs w:val="24"/>
        </w:rPr>
        <w:t xml:space="preserve">A análise comparativa entre as duas alternativas aponta que a </w:t>
      </w:r>
      <w:r>
        <w:rPr>
          <w:b/>
          <w:bCs/>
          <w:sz w:val="24"/>
          <w:szCs w:val="24"/>
        </w:rPr>
        <w:t>contratação de uma empresa especializada</w:t>
      </w:r>
      <w:r>
        <w:rPr>
          <w:sz w:val="24"/>
          <w:szCs w:val="24"/>
        </w:rPr>
        <w:t xml:space="preserve"> é a solução mais viável para o município de Miraíma/CE. A necessidade de atender de forma eficiente às exigências legais, a complexidade dos convênios, a alta demanda de elaboração de projetos para captação de recursos e a importância de uma prestação de contas transparente e em conformidade com as normas federais e estaduais indicam que a expertise e a capacidade técnica de uma empresa especializada são essenciais para garantir o sucesso na gestão de convênios e projetos.</w:t>
      </w:r>
    </w:p>
    <w:p>
      <w:pPr>
        <w:spacing w:line="276" w:lineRule="auto"/>
        <w:ind w:firstLine="708"/>
        <w:jc w:val="both"/>
        <w:rPr>
          <w:sz w:val="24"/>
          <w:szCs w:val="24"/>
        </w:rPr>
      </w:pPr>
      <w:r>
        <w:rPr>
          <w:sz w:val="24"/>
          <w:szCs w:val="24"/>
        </w:rPr>
        <w:t>Além disso, a contratação de uma empresa permitirá que a administração pública foque em suas atividades principais e assegure que os projetos sejam executados com qualidade, dentro dos prazos estabelecidos e de acordo com as normas legais, evitando erros que possam resultar em sanções ou perda de recursos. A empresa especializada oferece maior eficiência, controle e segurança jurídica, características essenciais para o bom andamento da gestão pública no município.</w:t>
      </w:r>
    </w:p>
    <w:p>
      <w:pPr>
        <w:spacing w:line="276" w:lineRule="auto"/>
        <w:ind w:firstLine="708"/>
        <w:jc w:val="both"/>
        <w:rPr>
          <w:sz w:val="24"/>
          <w:szCs w:val="24"/>
        </w:rPr>
      </w:pPr>
      <w:r>
        <w:rPr>
          <w:sz w:val="24"/>
          <w:szCs w:val="24"/>
        </w:rPr>
        <w:t>Portanto, a contratação de uma empresa especializada é a alternativa mais adequada, considerando os objetivos do município de Miraíma/CE em otimizar a gestão de convênios, garantir a captação de recursos e assegurar a transparência e eficiência na execução dos projetos.</w:t>
      </w:r>
    </w:p>
    <w:p>
      <w:pPr>
        <w:spacing w:line="276" w:lineRule="auto"/>
        <w:jc w:val="both"/>
        <w:rPr>
          <w:b/>
          <w:bCs/>
          <w:sz w:val="24"/>
          <w:szCs w:val="24"/>
        </w:rPr>
      </w:pPr>
    </w:p>
    <w:p>
      <w:pPr>
        <w:spacing w:line="276" w:lineRule="auto"/>
        <w:jc w:val="both"/>
        <w:rPr>
          <w:b/>
          <w:bCs/>
          <w:sz w:val="24"/>
          <w:szCs w:val="24"/>
        </w:rPr>
      </w:pPr>
      <w:r>
        <w:rPr>
          <w:b/>
          <w:bCs/>
          <w:sz w:val="24"/>
          <w:szCs w:val="24"/>
        </w:rPr>
        <w:t>6 – ESTIMATIVA DO VALOR DA CONTRATAÇÃO:</w:t>
      </w:r>
    </w:p>
    <w:p>
      <w:pPr>
        <w:spacing w:line="276" w:lineRule="auto"/>
        <w:jc w:val="both"/>
        <w:rPr>
          <w:sz w:val="24"/>
          <w:szCs w:val="24"/>
        </w:rPr>
      </w:pPr>
      <w:r>
        <w:rPr>
          <w:sz w:val="24"/>
          <w:szCs w:val="24"/>
        </w:rPr>
        <w:t>Estimativa do valor global para a contratação, com base em pesquisa de preço, a fim de realizar o levantamento do eventual gasto com a solução escolhida é de R$ 231.200,16 (Duzentos e Trinta e Um Mil, Duzentos Reais e Dezesseis Centavos).</w:t>
      </w:r>
    </w:p>
    <w:p>
      <w:pPr>
        <w:spacing w:line="276" w:lineRule="auto"/>
        <w:jc w:val="both"/>
        <w:rPr>
          <w:sz w:val="24"/>
          <w:szCs w:val="24"/>
        </w:rPr>
      </w:pPr>
    </w:p>
    <w:tbl>
      <w:tblPr>
        <w:tblW w:w="10509" w:type="dxa"/>
        <w:jc w:val="center"/>
        <w:tblCellMar>
          <w:left w:w="70" w:type="dxa"/>
          <w:right w:w="70" w:type="dxa"/>
        </w:tblCellMar>
        <w:tblLook w:val="04A0" w:firstRow="1" w:lastRow="0" w:firstColumn="1" w:lastColumn="0" w:noHBand="0" w:noVBand="1"/>
      </w:tblPr>
      <w:tblGrid>
        <w:gridCol w:w="973"/>
        <w:gridCol w:w="4632"/>
        <w:gridCol w:w="660"/>
        <w:gridCol w:w="1067"/>
        <w:gridCol w:w="1506"/>
        <w:gridCol w:w="1671"/>
      </w:tblGrid>
      <w:tr>
        <w:trPr>
          <w:trHeight w:val="477"/>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b/>
                <w:bCs/>
                <w:color w:val="000000"/>
                <w:sz w:val="24"/>
                <w:szCs w:val="24"/>
                <w:lang w:eastAsia="pt-BR"/>
              </w:rPr>
            </w:pPr>
            <w:r>
              <w:rPr>
                <w:b/>
                <w:bCs/>
                <w:color w:val="000000"/>
                <w:sz w:val="24"/>
                <w:szCs w:val="24"/>
                <w:lang w:eastAsia="pt-BR"/>
              </w:rPr>
              <w:t>ITEM</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ESPECIFICAÇÃO</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 xml:space="preserve">UND </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b/>
                <w:bCs/>
                <w:color w:val="000000"/>
                <w:sz w:val="24"/>
                <w:szCs w:val="24"/>
                <w:lang w:eastAsia="pt-BR"/>
              </w:rPr>
            </w:pPr>
            <w:r>
              <w:rPr>
                <w:b/>
                <w:bCs/>
                <w:color w:val="000000"/>
                <w:sz w:val="24"/>
                <w:szCs w:val="24"/>
                <w:lang w:eastAsia="pt-BR"/>
              </w:rPr>
              <w:t>QUANT.</w:t>
            </w:r>
          </w:p>
        </w:tc>
        <w:tc>
          <w:tcPr>
            <w:tcW w:w="1506"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line="276" w:lineRule="auto"/>
              <w:jc w:val="center"/>
              <w:rPr>
                <w:b/>
                <w:bCs/>
                <w:color w:val="000000"/>
                <w:sz w:val="24"/>
                <w:szCs w:val="24"/>
                <w:lang w:eastAsia="pt-BR"/>
              </w:rPr>
            </w:pPr>
            <w:r>
              <w:rPr>
                <w:b/>
                <w:bCs/>
                <w:color w:val="000000"/>
                <w:sz w:val="24"/>
                <w:szCs w:val="24"/>
                <w:lang w:eastAsia="pt-BR"/>
              </w:rPr>
              <w:t>VALOR UNITÁRIO</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lang w:eastAsia="pt-BR"/>
              </w:rPr>
            </w:pPr>
            <w:r>
              <w:rPr>
                <w:b/>
                <w:bCs/>
                <w:color w:val="000000"/>
                <w:sz w:val="24"/>
                <w:szCs w:val="24"/>
                <w:lang w:eastAsia="pt-BR"/>
              </w:rPr>
              <w:t>VALOR TOTAL</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01</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 xml:space="preserve">Contratação de empresa para a prestação dos serviços de assessoria administrativa, na elaboração de projetos para captação de recursos e prestação de contas de convênios e programas firmados com o governo estadual e </w:t>
            </w:r>
            <w:r>
              <w:rPr>
                <w:sz w:val="24"/>
                <w:szCs w:val="24"/>
              </w:rPr>
              <w:lastRenderedPageBreak/>
              <w:t>federal, junto a Secretaria de Educação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lastRenderedPageBreak/>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lastRenderedPageBreak/>
              <w:t>02</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Saúde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03</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do Trabalho e Assistência Social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67"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r>
              <w:rPr>
                <w:sz w:val="24"/>
                <w:szCs w:val="24"/>
              </w:rPr>
              <w:t>04</w:t>
            </w:r>
          </w:p>
        </w:tc>
        <w:tc>
          <w:tcPr>
            <w:tcW w:w="4632"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r>
              <w:rPr>
                <w:sz w:val="24"/>
                <w:szCs w:val="24"/>
              </w:rPr>
              <w:t>Contratação de empresa para a prestação dos serviços de assessoria administrativa, na elaboração de projetos para captação de recursos e prestação de contas de convênios e programas firmados com o governo estadual e federal, junto a Secretaria de Finanças do Município de Miraíma/CE</w:t>
            </w:r>
          </w:p>
        </w:tc>
        <w:tc>
          <w:tcPr>
            <w:tcW w:w="635"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Mês</w:t>
            </w:r>
          </w:p>
        </w:tc>
        <w:tc>
          <w:tcPr>
            <w:tcW w:w="998"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lang w:eastAsia="pt-BR"/>
              </w:rPr>
            </w:pPr>
            <w:r>
              <w:rPr>
                <w:color w:val="000000"/>
                <w:sz w:val="24"/>
                <w:szCs w:val="24"/>
                <w:lang w:eastAsia="pt-BR"/>
              </w:rPr>
              <w:t>12</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R$ 4.816,67</w:t>
            </w:r>
          </w:p>
        </w:tc>
        <w:tc>
          <w:tcPr>
            <w:tcW w:w="1671" w:type="dxa"/>
            <w:tcBorders>
              <w:top w:val="single" w:sz="4" w:space="0" w:color="auto"/>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lang w:eastAsia="pt-BR"/>
              </w:rPr>
            </w:pPr>
            <w:r>
              <w:rPr>
                <w:color w:val="000000"/>
                <w:sz w:val="24"/>
                <w:szCs w:val="24"/>
                <w:lang w:eastAsia="pt-BR"/>
              </w:rPr>
              <w:t>R$ 57.800,04</w:t>
            </w:r>
          </w:p>
        </w:tc>
      </w:tr>
      <w:tr>
        <w:trPr>
          <w:trHeight w:val="260"/>
          <w:jc w:val="center"/>
        </w:trPr>
        <w:tc>
          <w:tcPr>
            <w:tcW w:w="10509" w:type="dxa"/>
            <w:gridSpan w:val="6"/>
            <w:tcBorders>
              <w:top w:val="single" w:sz="4" w:space="0" w:color="auto"/>
              <w:left w:val="single" w:sz="4" w:space="0" w:color="auto"/>
              <w:bottom w:val="single" w:sz="4" w:space="0" w:color="auto"/>
              <w:right w:val="single" w:sz="4" w:space="0" w:color="auto"/>
            </w:tcBorders>
            <w:vAlign w:val="center"/>
          </w:tcPr>
          <w:p>
            <w:pPr>
              <w:spacing w:line="276" w:lineRule="auto"/>
              <w:jc w:val="both"/>
              <w:rPr>
                <w:color w:val="000000"/>
                <w:sz w:val="24"/>
                <w:szCs w:val="24"/>
                <w:lang w:eastAsia="pt-BR"/>
              </w:rPr>
            </w:pPr>
            <w:r>
              <w:rPr>
                <w:color w:val="000000"/>
                <w:sz w:val="24"/>
                <w:szCs w:val="24"/>
                <w:lang w:eastAsia="pt-BR"/>
              </w:rPr>
              <w:t>Valor global: R$ 231.200,16 (Duzentos e Trinta e Um Mil, Duzentos Reais e Dezesseis Centavos).</w:t>
            </w:r>
          </w:p>
        </w:tc>
      </w:tr>
    </w:tbl>
    <w:p>
      <w:pPr>
        <w:spacing w:line="276" w:lineRule="auto"/>
        <w:jc w:val="both"/>
        <w:rPr>
          <w:sz w:val="24"/>
          <w:szCs w:val="24"/>
        </w:rPr>
      </w:pPr>
    </w:p>
    <w:p>
      <w:pPr>
        <w:spacing w:line="276" w:lineRule="auto"/>
        <w:jc w:val="both"/>
        <w:rPr>
          <w:sz w:val="24"/>
          <w:szCs w:val="24"/>
        </w:rPr>
      </w:pPr>
      <w:r>
        <w:rPr>
          <w:sz w:val="24"/>
          <w:szCs w:val="24"/>
        </w:rPr>
        <w:t>O setor de compras competente após realização de pesquisas de preços com fornecedores por meio eletrônico (E-mail, Banco de preço públicos praticados, sites e links da internet) constatou que o preço médio estimado global para esta contratação é de R$ 231.200,16 (Duzentos e Trinta e Um Mil, Duzentos Reais e Dezesseis Centavos).</w:t>
      </w:r>
    </w:p>
    <w:p>
      <w:pPr>
        <w:spacing w:line="276" w:lineRule="auto"/>
        <w:jc w:val="both"/>
        <w:rPr>
          <w:b/>
          <w:bCs/>
          <w:sz w:val="24"/>
          <w:szCs w:val="24"/>
        </w:rPr>
      </w:pPr>
    </w:p>
    <w:p>
      <w:pPr>
        <w:spacing w:line="276" w:lineRule="auto"/>
        <w:jc w:val="both"/>
        <w:rPr>
          <w:b/>
          <w:bCs/>
          <w:sz w:val="24"/>
          <w:szCs w:val="24"/>
        </w:rPr>
      </w:pPr>
      <w:r>
        <w:rPr>
          <w:b/>
          <w:bCs/>
          <w:sz w:val="24"/>
          <w:szCs w:val="24"/>
        </w:rPr>
        <w:t>7 – DESCRIÇÃO DA SOLUÇÃO COMO UM TODO:</w:t>
      </w:r>
    </w:p>
    <w:p>
      <w:pPr>
        <w:spacing w:line="276" w:lineRule="auto"/>
        <w:ind w:firstLine="708"/>
        <w:jc w:val="both"/>
        <w:rPr>
          <w:sz w:val="24"/>
          <w:szCs w:val="24"/>
        </w:rPr>
      </w:pPr>
      <w:r>
        <w:rPr>
          <w:sz w:val="24"/>
          <w:szCs w:val="24"/>
        </w:rPr>
        <w:t>A solução proposta visa a contratação de uma empresa especializada para a prestação de serviços de assessoria administrativa, com foco na elaboração de projetos para captação de recursos e na gestão de convênios e programas firmados com os governos estadual e federal, em parceria com as diversas Secretarias do Município de Miraíma/CE. O objetivo é garantir uma gestão eficiente, transparente e conforme as normativas legais, assegurando a plena execução dos projetos e a correta aplicação dos recursos públicos.</w:t>
      </w:r>
    </w:p>
    <w:p>
      <w:pPr>
        <w:spacing w:line="276" w:lineRule="auto"/>
        <w:ind w:firstLine="708"/>
        <w:jc w:val="both"/>
        <w:rPr>
          <w:sz w:val="24"/>
          <w:szCs w:val="24"/>
        </w:rPr>
      </w:pPr>
      <w:r>
        <w:rPr>
          <w:b/>
          <w:bCs/>
          <w:sz w:val="24"/>
          <w:szCs w:val="24"/>
        </w:rPr>
        <w:t>Componentes da Solução:</w:t>
      </w:r>
    </w:p>
    <w:p>
      <w:pPr>
        <w:numPr>
          <w:ilvl w:val="0"/>
          <w:numId w:val="28"/>
        </w:numPr>
        <w:spacing w:line="276" w:lineRule="auto"/>
        <w:jc w:val="both"/>
        <w:rPr>
          <w:sz w:val="24"/>
          <w:szCs w:val="24"/>
        </w:rPr>
      </w:pPr>
      <w:r>
        <w:rPr>
          <w:b/>
          <w:bCs/>
          <w:sz w:val="24"/>
          <w:szCs w:val="24"/>
        </w:rPr>
        <w:t>Assessoria Administrativa e Gestão de Convênios:</w:t>
      </w:r>
      <w:r>
        <w:rPr>
          <w:sz w:val="24"/>
          <w:szCs w:val="24"/>
        </w:rPr>
        <w:t xml:space="preserve"> A empresa contratada será responsável por fornecer assessoria contínua à prefeitura, no que tange à administração de </w:t>
      </w:r>
      <w:r>
        <w:rPr>
          <w:sz w:val="24"/>
          <w:szCs w:val="24"/>
        </w:rPr>
        <w:lastRenderedPageBreak/>
        <w:t>convênios e transferências voluntárias. Isso inclui o acompanhamento das etapas contratuais, a gestão dos prazos e a garantia de que as condições acordadas com os órgãos federais e estaduais sejam cumpridas rigorosamente.</w:t>
      </w:r>
    </w:p>
    <w:p>
      <w:pPr>
        <w:numPr>
          <w:ilvl w:val="0"/>
          <w:numId w:val="28"/>
        </w:numPr>
        <w:spacing w:line="276" w:lineRule="auto"/>
        <w:jc w:val="both"/>
        <w:rPr>
          <w:sz w:val="24"/>
          <w:szCs w:val="24"/>
        </w:rPr>
      </w:pPr>
      <w:r>
        <w:rPr>
          <w:b/>
          <w:bCs/>
          <w:sz w:val="24"/>
          <w:szCs w:val="24"/>
        </w:rPr>
        <w:t>Elaboração de Projetos para Captação de Recursos:</w:t>
      </w:r>
      <w:r>
        <w:rPr>
          <w:sz w:val="24"/>
          <w:szCs w:val="24"/>
        </w:rPr>
        <w:t xml:space="preserve"> A empresa deverá elaborar projetos técnicos e administrativos para captar recursos junto ao governo estadual, federal, e outras fontes, alinhados às necessidades do município. Essa etapa envolverá a identificação de oportunidades de financiamento, a redação de propostas, a formulação de orçamentos e a definição das metas a serem alcançadas, sempre de acordo com as exigências de cada programa ou convênio.</w:t>
      </w:r>
    </w:p>
    <w:p>
      <w:pPr>
        <w:numPr>
          <w:ilvl w:val="0"/>
          <w:numId w:val="28"/>
        </w:numPr>
        <w:spacing w:line="276" w:lineRule="auto"/>
        <w:jc w:val="both"/>
        <w:rPr>
          <w:sz w:val="24"/>
          <w:szCs w:val="24"/>
        </w:rPr>
      </w:pPr>
      <w:r>
        <w:rPr>
          <w:b/>
          <w:bCs/>
          <w:sz w:val="24"/>
          <w:szCs w:val="24"/>
        </w:rPr>
        <w:t>Prestações de Contas e Relatórios Técnicos:</w:t>
      </w:r>
      <w:r>
        <w:rPr>
          <w:sz w:val="24"/>
          <w:szCs w:val="24"/>
        </w:rPr>
        <w:t xml:space="preserve"> A empresa será responsável pela elaboração e envio das prestações de contas de convênios e programas, tanto financeiros quanto técnicos, junto aos órgãos federais e estaduais, assegurando que todas as informações sejam apresentadas de maneira clara, precisa e conforme as exigências legais. Relatórios periódicos também serão elaborados para o acompanhamento interno da execução dos projetos.</w:t>
      </w:r>
    </w:p>
    <w:p>
      <w:pPr>
        <w:numPr>
          <w:ilvl w:val="0"/>
          <w:numId w:val="28"/>
        </w:numPr>
        <w:spacing w:line="276" w:lineRule="auto"/>
        <w:jc w:val="both"/>
        <w:rPr>
          <w:sz w:val="24"/>
          <w:szCs w:val="24"/>
        </w:rPr>
      </w:pPr>
      <w:r>
        <w:rPr>
          <w:b/>
          <w:bCs/>
          <w:sz w:val="24"/>
          <w:szCs w:val="24"/>
        </w:rPr>
        <w:t>Treinamento e Capacitação de Servidores Municipais:</w:t>
      </w:r>
      <w:r>
        <w:rPr>
          <w:sz w:val="24"/>
          <w:szCs w:val="24"/>
        </w:rPr>
        <w:t xml:space="preserve"> A empresa oferecerá treinamentos e capacitações para os servidores municipais, abordando a gestão de convênios, elaboração de projetos e o processo de prestação de contas. Essa capacitação visa melhorar a competência técnica da equipe da prefeitura e prepará-la para lidar com futuras demandas sem a necessidade de assistência externa, contribuindo para a sustentabilidade das ações de gestão pública.</w:t>
      </w:r>
    </w:p>
    <w:p>
      <w:pPr>
        <w:numPr>
          <w:ilvl w:val="0"/>
          <w:numId w:val="28"/>
        </w:numPr>
        <w:spacing w:line="276" w:lineRule="auto"/>
        <w:jc w:val="both"/>
        <w:rPr>
          <w:sz w:val="24"/>
          <w:szCs w:val="24"/>
        </w:rPr>
      </w:pPr>
      <w:r>
        <w:rPr>
          <w:b/>
          <w:bCs/>
          <w:sz w:val="24"/>
          <w:szCs w:val="24"/>
        </w:rPr>
        <w:t>Suporte Contínuo e Consultoria Técnica:</w:t>
      </w:r>
      <w:r>
        <w:rPr>
          <w:sz w:val="24"/>
          <w:szCs w:val="24"/>
        </w:rPr>
        <w:t xml:space="preserve"> A empresa fornecerá suporte contínuo durante a execução dos projetos, respondendo a dúvidas e oferecendo consultoria sobre as melhores práticas e soluções para a gestão dos convênios e programas. Esse suporte será fundamental para a adaptação às mudanças na legislação e no processo de prestação de contas, além de garantir a conformidade com as normas federais e estaduais.</w:t>
      </w:r>
    </w:p>
    <w:p>
      <w:pPr>
        <w:numPr>
          <w:ilvl w:val="0"/>
          <w:numId w:val="28"/>
        </w:numPr>
        <w:spacing w:line="276" w:lineRule="auto"/>
        <w:jc w:val="both"/>
        <w:rPr>
          <w:sz w:val="24"/>
          <w:szCs w:val="24"/>
        </w:rPr>
      </w:pPr>
      <w:r>
        <w:rPr>
          <w:b/>
          <w:bCs/>
          <w:sz w:val="24"/>
          <w:szCs w:val="24"/>
        </w:rPr>
        <w:t>Metodologia e Planejamento de Ações:</w:t>
      </w:r>
      <w:r>
        <w:rPr>
          <w:sz w:val="24"/>
          <w:szCs w:val="24"/>
        </w:rPr>
        <w:t xml:space="preserve"> A empresa adotará uma metodologia de trabalho estruturada e personalizada para atender às necessidades específicas de Miraíma/CE. Isso incluirá a elaboração de um plano de trabalho detalhado, com cronograma de ações, prazos e responsáveis, garantindo que todas as etapas do processo de gestão de convênios sejam cumpridas de forma eficiente e no tempo determinado.</w:t>
      </w:r>
    </w:p>
    <w:p>
      <w:pPr>
        <w:spacing w:line="276" w:lineRule="auto"/>
        <w:ind w:firstLine="708"/>
        <w:jc w:val="both"/>
        <w:rPr>
          <w:sz w:val="24"/>
          <w:szCs w:val="24"/>
        </w:rPr>
      </w:pPr>
      <w:r>
        <w:rPr>
          <w:b/>
          <w:bCs/>
          <w:sz w:val="24"/>
          <w:szCs w:val="24"/>
        </w:rPr>
        <w:t>Resultados Esperados:</w:t>
      </w:r>
    </w:p>
    <w:p>
      <w:pPr>
        <w:numPr>
          <w:ilvl w:val="0"/>
          <w:numId w:val="29"/>
        </w:numPr>
        <w:spacing w:line="276" w:lineRule="auto"/>
        <w:jc w:val="both"/>
        <w:rPr>
          <w:sz w:val="24"/>
          <w:szCs w:val="24"/>
        </w:rPr>
      </w:pPr>
      <w:r>
        <w:rPr>
          <w:b/>
          <w:bCs/>
          <w:sz w:val="24"/>
          <w:szCs w:val="24"/>
        </w:rPr>
        <w:t>Eficiência na Gestão de Convênios:</w:t>
      </w:r>
      <w:r>
        <w:rPr>
          <w:sz w:val="24"/>
          <w:szCs w:val="24"/>
        </w:rPr>
        <w:t xml:space="preserve"> A assessoria especializada permitirá uma gestão mais eficiente dos recursos públicos, com o cumprimento adequado das exigências contratuais e legais, evitando penalidades e garantindo o bom uso dos recursos captados.</w:t>
      </w:r>
    </w:p>
    <w:p>
      <w:pPr>
        <w:numPr>
          <w:ilvl w:val="0"/>
          <w:numId w:val="29"/>
        </w:numPr>
        <w:spacing w:line="276" w:lineRule="auto"/>
        <w:jc w:val="both"/>
        <w:rPr>
          <w:sz w:val="24"/>
          <w:szCs w:val="24"/>
        </w:rPr>
      </w:pPr>
      <w:r>
        <w:rPr>
          <w:b/>
          <w:bCs/>
          <w:sz w:val="24"/>
          <w:szCs w:val="24"/>
        </w:rPr>
        <w:t>Captação de Recursos Sustentáveis:</w:t>
      </w:r>
      <w:r>
        <w:rPr>
          <w:sz w:val="24"/>
          <w:szCs w:val="24"/>
        </w:rPr>
        <w:t xml:space="preserve"> A elaboração de projetos alinhados às políticas públicas e demandas do município possibilitará ao município acessar recursos adicionais que serão aplicados em áreas prioritárias, como saúde, educação, infraestrutura e assistência social.</w:t>
      </w:r>
    </w:p>
    <w:p>
      <w:pPr>
        <w:numPr>
          <w:ilvl w:val="0"/>
          <w:numId w:val="29"/>
        </w:numPr>
        <w:spacing w:line="276" w:lineRule="auto"/>
        <w:jc w:val="both"/>
        <w:rPr>
          <w:sz w:val="24"/>
          <w:szCs w:val="24"/>
        </w:rPr>
      </w:pPr>
      <w:r>
        <w:rPr>
          <w:b/>
          <w:bCs/>
          <w:sz w:val="24"/>
          <w:szCs w:val="24"/>
        </w:rPr>
        <w:t>Transparência e Conformidade Legal:</w:t>
      </w:r>
      <w:r>
        <w:rPr>
          <w:sz w:val="24"/>
          <w:szCs w:val="24"/>
        </w:rPr>
        <w:t xml:space="preserve"> A prestação de contas será realizada de forma rigorosa e transparente, assegurando que todos os processos estejam em conformidade com </w:t>
      </w:r>
      <w:r>
        <w:rPr>
          <w:sz w:val="24"/>
          <w:szCs w:val="24"/>
        </w:rPr>
        <w:lastRenderedPageBreak/>
        <w:t>a legislação vigente e os critérios exigidos pelos órgãos de controle, como os Tribunais de Contas.</w:t>
      </w:r>
    </w:p>
    <w:p>
      <w:pPr>
        <w:numPr>
          <w:ilvl w:val="0"/>
          <w:numId w:val="29"/>
        </w:numPr>
        <w:spacing w:line="276" w:lineRule="auto"/>
        <w:jc w:val="both"/>
        <w:rPr>
          <w:sz w:val="24"/>
          <w:szCs w:val="24"/>
        </w:rPr>
      </w:pPr>
      <w:r>
        <w:rPr>
          <w:b/>
          <w:bCs/>
          <w:sz w:val="24"/>
          <w:szCs w:val="24"/>
        </w:rPr>
        <w:t>Desenvolvimento Institucional:</w:t>
      </w:r>
      <w:r>
        <w:rPr>
          <w:sz w:val="24"/>
          <w:szCs w:val="24"/>
        </w:rPr>
        <w:t xml:space="preserve"> Com o suporte contínuo e os treinamentos oferecidos, a prefeitura desenvolverá maior capacidade interna de gestão, com servidores mais capacitados para lidar com projetos e convênios de forma autônoma no futuro.</w:t>
      </w:r>
    </w:p>
    <w:p>
      <w:pPr>
        <w:spacing w:line="276" w:lineRule="auto"/>
        <w:ind w:firstLine="708"/>
        <w:jc w:val="both"/>
        <w:rPr>
          <w:sz w:val="24"/>
          <w:szCs w:val="24"/>
        </w:rPr>
      </w:pPr>
      <w:r>
        <w:rPr>
          <w:b/>
          <w:bCs/>
          <w:sz w:val="24"/>
          <w:szCs w:val="24"/>
        </w:rPr>
        <w:t>Conclusão:</w:t>
      </w:r>
      <w:r>
        <w:rPr>
          <w:sz w:val="24"/>
          <w:szCs w:val="24"/>
        </w:rPr>
        <w:t xml:space="preserve"> A solução proposta, por meio da contratação de uma empresa especializada, atende de maneira eficaz e integrada às necessidades do Município de Miraíma/CE, proporcionando uma gestão profissional e qualificada dos convênios, a captação de recursos essenciais para o desenvolvimento local e a segurança jurídica na execução dos projetos. Com uma metodologia estruturada, treinamento contínuo e suporte técnico especializado, a prefeitura estará preparada para alcançar resultados positivos que beneficiem a população e promovam o crescimento sustentável do município.</w:t>
      </w:r>
    </w:p>
    <w:p>
      <w:pPr>
        <w:spacing w:line="276" w:lineRule="auto"/>
        <w:jc w:val="both"/>
        <w:rPr>
          <w:b/>
          <w:bCs/>
          <w:sz w:val="24"/>
          <w:szCs w:val="24"/>
        </w:rPr>
      </w:pPr>
    </w:p>
    <w:p>
      <w:pPr>
        <w:spacing w:line="276" w:lineRule="auto"/>
        <w:jc w:val="both"/>
        <w:rPr>
          <w:b/>
          <w:bCs/>
          <w:sz w:val="24"/>
          <w:szCs w:val="24"/>
          <w:u w:val="single"/>
        </w:rPr>
      </w:pPr>
      <w:r>
        <w:rPr>
          <w:b/>
          <w:bCs/>
          <w:sz w:val="24"/>
          <w:szCs w:val="24"/>
          <w:u w:val="single"/>
        </w:rPr>
        <w:t>8 – JUSTIFICATIVA PARA O PARCELAMENTO OU NÃO DA SOLUÇÃO</w:t>
      </w:r>
    </w:p>
    <w:p>
      <w:pPr>
        <w:spacing w:line="276" w:lineRule="auto"/>
        <w:ind w:firstLine="851"/>
        <w:jc w:val="both"/>
        <w:rPr>
          <w:sz w:val="24"/>
          <w:szCs w:val="24"/>
        </w:rPr>
      </w:pPr>
      <w:r>
        <w:rPr>
          <w:sz w:val="24"/>
          <w:szCs w:val="24"/>
        </w:rPr>
        <w:t>Considerando a natureza dos serviços a serem contratados, que envolvem assessoria administrativa na elaboração de projetos, captação de recursos e prestação de contas de convênios e programas junto ao Governo Estadual e Federal, verificou-se que a execução integral dessas atividades demanda uma abordagem centralizada e coordenada.</w:t>
      </w:r>
    </w:p>
    <w:p>
      <w:pPr>
        <w:spacing w:line="276" w:lineRule="auto"/>
        <w:ind w:firstLine="851"/>
        <w:jc w:val="both"/>
        <w:rPr>
          <w:sz w:val="24"/>
          <w:szCs w:val="24"/>
        </w:rPr>
      </w:pPr>
      <w:r>
        <w:rPr>
          <w:sz w:val="24"/>
          <w:szCs w:val="24"/>
        </w:rPr>
        <w:t>A fragmentação do objeto em lotes ou etapas distintas poderia comprometer a eficiência, a continuidade e a integração necessária para o alcance dos resultados esperados. Além disso, a divisão do objeto poderia acarretar dificuldades na gestão contratual e aumento de custos operacionais.</w:t>
      </w:r>
    </w:p>
    <w:p>
      <w:pPr>
        <w:spacing w:line="276" w:lineRule="auto"/>
        <w:ind w:firstLine="851"/>
        <w:jc w:val="both"/>
        <w:rPr>
          <w:sz w:val="24"/>
          <w:szCs w:val="24"/>
        </w:rPr>
      </w:pPr>
      <w:r>
        <w:rPr>
          <w:sz w:val="24"/>
          <w:szCs w:val="24"/>
        </w:rPr>
        <w:t>Por esses motivos, decidiu-se pela não realização do parcelamento da solução, garantindo a coerência e a efetividade na prestação dos serviços contratados.</w:t>
      </w:r>
    </w:p>
    <w:p>
      <w:pPr>
        <w:spacing w:line="276" w:lineRule="auto"/>
        <w:jc w:val="both"/>
        <w:rPr>
          <w:b/>
          <w:sz w:val="24"/>
          <w:szCs w:val="24"/>
        </w:rPr>
      </w:pPr>
    </w:p>
    <w:p>
      <w:pPr>
        <w:spacing w:line="276" w:lineRule="auto"/>
        <w:jc w:val="both"/>
        <w:rPr>
          <w:b/>
          <w:sz w:val="24"/>
          <w:szCs w:val="24"/>
        </w:rPr>
      </w:pPr>
      <w:r>
        <w:rPr>
          <w:b/>
          <w:sz w:val="24"/>
          <w:szCs w:val="24"/>
        </w:rPr>
        <w:t>9 – RESULTADOS PRETENDIDOS EM TERMOS DE ECONOMICIDADE E DE MELHOR APROVEITAMENTO DOS RECURSOS HUMANOS, MATERIAIS OU FINANCEIROS DISPONÍVEIS:</w:t>
      </w:r>
    </w:p>
    <w:p>
      <w:pPr>
        <w:spacing w:line="276" w:lineRule="auto"/>
        <w:jc w:val="both"/>
        <w:rPr>
          <w:sz w:val="24"/>
          <w:szCs w:val="24"/>
        </w:rPr>
      </w:pPr>
      <w:r>
        <w:rPr>
          <w:sz w:val="24"/>
          <w:szCs w:val="24"/>
        </w:rPr>
        <w:t>A contratação de empresa especializada na prestação de serviços de assessoria administrativa visa assegurar a eficiência na elaboração de projetos, captação de recursos e prestação de contas de convênios e programas firmados com os Governos Estadual e Federal. Os resultados esperados incluem:</w:t>
      </w:r>
    </w:p>
    <w:p>
      <w:pPr>
        <w:numPr>
          <w:ilvl w:val="0"/>
          <w:numId w:val="30"/>
        </w:numPr>
        <w:spacing w:line="276" w:lineRule="auto"/>
        <w:jc w:val="both"/>
        <w:rPr>
          <w:sz w:val="24"/>
          <w:szCs w:val="24"/>
        </w:rPr>
      </w:pPr>
      <w:r>
        <w:rPr>
          <w:b/>
          <w:bCs/>
          <w:sz w:val="24"/>
          <w:szCs w:val="24"/>
        </w:rPr>
        <w:t>Economicidade</w:t>
      </w:r>
      <w:r>
        <w:rPr>
          <w:sz w:val="24"/>
          <w:szCs w:val="24"/>
        </w:rPr>
        <w:t>:</w:t>
      </w:r>
    </w:p>
    <w:p>
      <w:pPr>
        <w:numPr>
          <w:ilvl w:val="1"/>
          <w:numId w:val="30"/>
        </w:numPr>
        <w:tabs>
          <w:tab w:val="num" w:pos="1440"/>
        </w:tabs>
        <w:spacing w:line="276" w:lineRule="auto"/>
        <w:jc w:val="both"/>
        <w:rPr>
          <w:sz w:val="24"/>
          <w:szCs w:val="24"/>
        </w:rPr>
      </w:pPr>
      <w:r>
        <w:rPr>
          <w:sz w:val="24"/>
          <w:szCs w:val="24"/>
        </w:rPr>
        <w:t>Redução de gastos decorrentes de falhas ou impropriedades nos processos de prestação de contas, eliminando a possibilidade de devolução de recursos ou aplicação de sanções.</w:t>
      </w:r>
    </w:p>
    <w:p>
      <w:pPr>
        <w:numPr>
          <w:ilvl w:val="1"/>
          <w:numId w:val="30"/>
        </w:numPr>
        <w:tabs>
          <w:tab w:val="num" w:pos="1440"/>
        </w:tabs>
        <w:spacing w:line="276" w:lineRule="auto"/>
        <w:jc w:val="both"/>
        <w:rPr>
          <w:sz w:val="24"/>
          <w:szCs w:val="24"/>
        </w:rPr>
      </w:pPr>
      <w:r>
        <w:rPr>
          <w:sz w:val="24"/>
          <w:szCs w:val="24"/>
        </w:rPr>
        <w:t>Otimização de recursos públicos por meio da captação eficiente de verbas adicionais, ampliando os investimentos no município.</w:t>
      </w:r>
    </w:p>
    <w:p>
      <w:pPr>
        <w:numPr>
          <w:ilvl w:val="0"/>
          <w:numId w:val="30"/>
        </w:numPr>
        <w:spacing w:line="276" w:lineRule="auto"/>
        <w:jc w:val="both"/>
        <w:rPr>
          <w:sz w:val="24"/>
          <w:szCs w:val="24"/>
        </w:rPr>
      </w:pPr>
      <w:r>
        <w:rPr>
          <w:b/>
          <w:bCs/>
          <w:sz w:val="24"/>
          <w:szCs w:val="24"/>
        </w:rPr>
        <w:t>Melhor Aproveitamento dos Recursos Humanos</w:t>
      </w:r>
      <w:r>
        <w:rPr>
          <w:sz w:val="24"/>
          <w:szCs w:val="24"/>
        </w:rPr>
        <w:t>:</w:t>
      </w:r>
    </w:p>
    <w:p>
      <w:pPr>
        <w:numPr>
          <w:ilvl w:val="1"/>
          <w:numId w:val="30"/>
        </w:numPr>
        <w:tabs>
          <w:tab w:val="num" w:pos="1440"/>
        </w:tabs>
        <w:spacing w:line="276" w:lineRule="auto"/>
        <w:jc w:val="both"/>
        <w:rPr>
          <w:sz w:val="24"/>
          <w:szCs w:val="24"/>
        </w:rPr>
      </w:pPr>
      <w:r>
        <w:rPr>
          <w:sz w:val="24"/>
          <w:szCs w:val="24"/>
        </w:rPr>
        <w:lastRenderedPageBreak/>
        <w:t>Apoio técnico especializado, permitindo que os servidores municipais direcionem seu tempo e esforços para atividades estratégicas e prioritárias de suas respectivas áreas.</w:t>
      </w:r>
    </w:p>
    <w:p>
      <w:pPr>
        <w:numPr>
          <w:ilvl w:val="1"/>
          <w:numId w:val="30"/>
        </w:numPr>
        <w:tabs>
          <w:tab w:val="num" w:pos="1440"/>
        </w:tabs>
        <w:spacing w:line="276" w:lineRule="auto"/>
        <w:jc w:val="both"/>
        <w:rPr>
          <w:sz w:val="24"/>
          <w:szCs w:val="24"/>
        </w:rPr>
      </w:pPr>
      <w:r>
        <w:rPr>
          <w:sz w:val="24"/>
          <w:szCs w:val="24"/>
        </w:rPr>
        <w:t>Qualificação dos processos internos, proporcionando maior produtividade e reduzindo retrabalhos.</w:t>
      </w:r>
    </w:p>
    <w:p>
      <w:pPr>
        <w:numPr>
          <w:ilvl w:val="0"/>
          <w:numId w:val="30"/>
        </w:numPr>
        <w:spacing w:line="276" w:lineRule="auto"/>
        <w:jc w:val="both"/>
        <w:rPr>
          <w:sz w:val="24"/>
          <w:szCs w:val="24"/>
        </w:rPr>
      </w:pPr>
      <w:r>
        <w:rPr>
          <w:b/>
          <w:bCs/>
          <w:sz w:val="24"/>
          <w:szCs w:val="24"/>
        </w:rPr>
        <w:t>Melhor Aproveitamento dos Recursos Materiais e Financeiros</w:t>
      </w:r>
      <w:r>
        <w:rPr>
          <w:sz w:val="24"/>
          <w:szCs w:val="24"/>
        </w:rPr>
        <w:t>:</w:t>
      </w:r>
    </w:p>
    <w:p>
      <w:pPr>
        <w:numPr>
          <w:ilvl w:val="1"/>
          <w:numId w:val="30"/>
        </w:numPr>
        <w:tabs>
          <w:tab w:val="num" w:pos="1440"/>
        </w:tabs>
        <w:spacing w:line="276" w:lineRule="auto"/>
        <w:jc w:val="both"/>
        <w:rPr>
          <w:sz w:val="24"/>
          <w:szCs w:val="24"/>
        </w:rPr>
      </w:pPr>
      <w:r>
        <w:rPr>
          <w:sz w:val="24"/>
          <w:szCs w:val="24"/>
        </w:rPr>
        <w:t>Maximização do uso de recursos financeiros provenientes de convênios e programas, assegurando que sejam aplicados conforme os critérios estabelecidos pelos órgãos financiadores.</w:t>
      </w:r>
    </w:p>
    <w:p>
      <w:pPr>
        <w:numPr>
          <w:ilvl w:val="1"/>
          <w:numId w:val="30"/>
        </w:numPr>
        <w:tabs>
          <w:tab w:val="num" w:pos="1440"/>
        </w:tabs>
        <w:spacing w:line="276" w:lineRule="auto"/>
        <w:jc w:val="both"/>
        <w:rPr>
          <w:sz w:val="24"/>
          <w:szCs w:val="24"/>
        </w:rPr>
      </w:pPr>
      <w:r>
        <w:rPr>
          <w:sz w:val="24"/>
          <w:szCs w:val="24"/>
        </w:rPr>
        <w:t>Minimização de custos administrativos, ao centralizar a execução das atividades em uma empresa especializada, com expertise no setor.</w:t>
      </w:r>
    </w:p>
    <w:p>
      <w:pPr>
        <w:spacing w:line="276" w:lineRule="auto"/>
        <w:jc w:val="both"/>
        <w:rPr>
          <w:sz w:val="24"/>
          <w:szCs w:val="24"/>
        </w:rPr>
      </w:pPr>
      <w:r>
        <w:rPr>
          <w:sz w:val="24"/>
          <w:szCs w:val="24"/>
        </w:rPr>
        <w:t>Assim, a contratação proporcionará maior eficiência na gestão pública, potencializando os recursos existentes e fortalecendo a capacidade administrativa do município de Miraíma/CE.</w:t>
      </w:r>
    </w:p>
    <w:p>
      <w:pPr>
        <w:spacing w:line="276" w:lineRule="auto"/>
        <w:jc w:val="both"/>
        <w:rPr>
          <w:sz w:val="24"/>
          <w:szCs w:val="24"/>
        </w:rPr>
      </w:pPr>
    </w:p>
    <w:p>
      <w:pPr>
        <w:spacing w:line="276" w:lineRule="auto"/>
        <w:jc w:val="both"/>
        <w:rPr>
          <w:b/>
          <w:bCs/>
          <w:sz w:val="24"/>
          <w:szCs w:val="24"/>
        </w:rPr>
      </w:pPr>
      <w:r>
        <w:rPr>
          <w:b/>
          <w:bCs/>
          <w:sz w:val="24"/>
          <w:szCs w:val="24"/>
        </w:rPr>
        <w:t>10 – PROVIDÊNCIAS A SEREM TOMADAS</w:t>
      </w:r>
    </w:p>
    <w:p>
      <w:pPr>
        <w:spacing w:line="276" w:lineRule="auto"/>
        <w:jc w:val="both"/>
        <w:rPr>
          <w:sz w:val="24"/>
          <w:szCs w:val="24"/>
        </w:rPr>
      </w:pPr>
      <w:r>
        <w:rPr>
          <w:sz w:val="24"/>
          <w:szCs w:val="24"/>
        </w:rPr>
        <w:t>Não há nenhuma necessidade de adaptação direta ao ambiente físico para início das atividades desta tipologia de serviços.</w:t>
      </w:r>
    </w:p>
    <w:p>
      <w:pPr>
        <w:spacing w:line="276" w:lineRule="auto"/>
        <w:jc w:val="both"/>
        <w:rPr>
          <w:b/>
          <w:bCs/>
          <w:sz w:val="24"/>
          <w:szCs w:val="24"/>
        </w:rPr>
      </w:pPr>
    </w:p>
    <w:p>
      <w:pPr>
        <w:spacing w:line="276" w:lineRule="auto"/>
        <w:jc w:val="both"/>
        <w:rPr>
          <w:b/>
          <w:bCs/>
          <w:sz w:val="24"/>
          <w:szCs w:val="24"/>
        </w:rPr>
      </w:pPr>
      <w:r>
        <w:rPr>
          <w:b/>
          <w:bCs/>
          <w:sz w:val="24"/>
          <w:szCs w:val="24"/>
        </w:rPr>
        <w:t>11 – CONTRATAÇÕES CORRELATAS E/OU INTERDEPENDENTES:</w:t>
      </w:r>
    </w:p>
    <w:p>
      <w:pPr>
        <w:spacing w:line="276" w:lineRule="auto"/>
        <w:jc w:val="both"/>
        <w:rPr>
          <w:sz w:val="24"/>
          <w:szCs w:val="24"/>
        </w:rPr>
      </w:pPr>
      <w:r>
        <w:rPr>
          <w:sz w:val="24"/>
          <w:szCs w:val="24"/>
        </w:rPr>
        <w:t xml:space="preserve">A contratação dos serviços de assessoria administrativas não possui exigências de outras contratações correlatas ou interdependentes. </w:t>
      </w:r>
    </w:p>
    <w:p>
      <w:pPr>
        <w:spacing w:line="276" w:lineRule="auto"/>
        <w:jc w:val="both"/>
        <w:rPr>
          <w:b/>
          <w:bCs/>
          <w:sz w:val="24"/>
          <w:szCs w:val="24"/>
        </w:rPr>
      </w:pPr>
    </w:p>
    <w:p>
      <w:pPr>
        <w:spacing w:line="276" w:lineRule="auto"/>
        <w:jc w:val="both"/>
        <w:rPr>
          <w:b/>
          <w:bCs/>
          <w:sz w:val="24"/>
          <w:szCs w:val="24"/>
        </w:rPr>
      </w:pPr>
      <w:r>
        <w:rPr>
          <w:b/>
          <w:bCs/>
          <w:sz w:val="24"/>
          <w:szCs w:val="24"/>
        </w:rPr>
        <w:t>12 – POSSÍVEIS IMPACTOS AMBIENTAIS</w:t>
      </w:r>
    </w:p>
    <w:p>
      <w:pPr>
        <w:spacing w:line="276" w:lineRule="auto"/>
        <w:jc w:val="both"/>
        <w:rPr>
          <w:sz w:val="24"/>
          <w:szCs w:val="24"/>
        </w:rPr>
      </w:pPr>
      <w:r>
        <w:rPr>
          <w:sz w:val="24"/>
          <w:szCs w:val="24"/>
        </w:rPr>
        <w:t>Não há previsão de impactos ambientais.</w:t>
      </w:r>
    </w:p>
    <w:p>
      <w:pPr>
        <w:spacing w:line="276" w:lineRule="auto"/>
        <w:jc w:val="both"/>
        <w:rPr>
          <w:b/>
          <w:bCs/>
          <w:sz w:val="24"/>
          <w:szCs w:val="24"/>
        </w:rPr>
      </w:pPr>
    </w:p>
    <w:p>
      <w:pPr>
        <w:spacing w:line="276" w:lineRule="auto"/>
        <w:jc w:val="both"/>
        <w:rPr>
          <w:b/>
          <w:bCs/>
          <w:sz w:val="24"/>
          <w:szCs w:val="24"/>
        </w:rPr>
      </w:pPr>
      <w:r>
        <w:rPr>
          <w:b/>
          <w:bCs/>
          <w:sz w:val="24"/>
          <w:szCs w:val="24"/>
        </w:rPr>
        <w:t>13 – POSICIONAMENTO CONCLUSIVO SOBRE A ADEQUAÇÃO DA CONTRATAÇÃO PARA O ATENDIMENTO DA NECESSIDADE A QUE SE DESTINA</w:t>
      </w:r>
    </w:p>
    <w:p>
      <w:pPr>
        <w:spacing w:line="276" w:lineRule="auto"/>
        <w:jc w:val="both"/>
        <w:rPr>
          <w:sz w:val="24"/>
          <w:szCs w:val="24"/>
        </w:rPr>
      </w:pPr>
      <w:r>
        <w:rPr>
          <w:sz w:val="24"/>
          <w:szCs w:val="24"/>
        </w:rPr>
        <w:t xml:space="preserve">Esta equipe de planejamento declara viável esta contratação com base no Estudo Técnico Preliminar. </w:t>
      </w:r>
    </w:p>
    <w:p>
      <w:pPr>
        <w:spacing w:line="276" w:lineRule="auto"/>
        <w:jc w:val="both"/>
        <w:rPr>
          <w:sz w:val="24"/>
          <w:szCs w:val="24"/>
        </w:rPr>
      </w:pPr>
    </w:p>
    <w:p>
      <w:pPr>
        <w:suppressAutoHyphens w:val="0"/>
        <w:spacing w:line="276" w:lineRule="auto"/>
        <w:jc w:val="both"/>
        <w:rPr>
          <w:sz w:val="24"/>
          <w:szCs w:val="24"/>
        </w:rPr>
      </w:pPr>
      <w:r>
        <w:rPr>
          <w:sz w:val="24"/>
          <w:szCs w:val="24"/>
        </w:rPr>
        <w:t>Os estudos preliminares evidenciaram que a contratação da solução descrita no item “DESCRIÇÃO DA SOLUÇÃO COMO UM TODO” se mostra tecnicamente possível e fundamentadamente necessária. Diante do exposto, declara-se ser viável a contratação pretendida.</w:t>
      </w: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p>
      <w:pPr>
        <w:spacing w:line="276" w:lineRule="auto"/>
        <w:jc w:val="center"/>
        <w:rPr>
          <w:b/>
          <w:sz w:val="24"/>
          <w:szCs w:val="24"/>
        </w:rPr>
      </w:pPr>
      <w:r>
        <w:rPr>
          <w:b/>
          <w:sz w:val="24"/>
          <w:szCs w:val="24"/>
        </w:rPr>
        <w:t>ANEXO II – TERMO DE CONTRATO</w:t>
      </w:r>
    </w:p>
    <w:p>
      <w:pPr>
        <w:pStyle w:val="Prembulo"/>
        <w:spacing w:before="0" w:after="0" w:line="276" w:lineRule="auto"/>
        <w:ind w:right="-170"/>
        <w:rPr>
          <w:rFonts w:ascii="Times New Roman" w:hAnsi="Times New Roman" w:cs="Times New Roman"/>
          <w:bCs w:val="0"/>
          <w:sz w:val="24"/>
          <w:szCs w:val="24"/>
        </w:rPr>
      </w:pPr>
    </w:p>
    <w:p>
      <w:pPr>
        <w:pStyle w:val="Prembulo"/>
        <w:spacing w:before="0" w:after="0" w:line="276" w:lineRule="auto"/>
        <w:ind w:right="-170"/>
        <w:rPr>
          <w:rFonts w:ascii="Times New Roman" w:hAnsi="Times New Roman" w:cs="Times New Roman"/>
          <w:bCs w:val="0"/>
          <w:sz w:val="24"/>
          <w:szCs w:val="24"/>
        </w:rPr>
      </w:pPr>
      <w:r>
        <w:rPr>
          <w:rFonts w:ascii="Times New Roman" w:hAnsi="Times New Roman" w:cs="Times New Roman"/>
          <w:bCs w:val="0"/>
          <w:sz w:val="24"/>
          <w:szCs w:val="24"/>
        </w:rPr>
        <w:t xml:space="preserve">CONTRATO ADMINISTRATIVO Nº ______________, QUE FAZEM ENTRE SI A PREFEITURA MUNICIPAL DE MIRAÍMA-CE, ATRAVÉS DA SECRETARIA _______ E _____________. </w:t>
      </w:r>
    </w:p>
    <w:p>
      <w:pPr>
        <w:spacing w:line="276" w:lineRule="auto"/>
        <w:jc w:val="both"/>
        <w:rPr>
          <w:rFonts w:eastAsia="Arial"/>
          <w:iCs/>
          <w:sz w:val="24"/>
          <w:szCs w:val="24"/>
        </w:rPr>
      </w:pPr>
    </w:p>
    <w:p>
      <w:pPr>
        <w:spacing w:line="276" w:lineRule="auto"/>
        <w:jc w:val="both"/>
        <w:rPr>
          <w:rFonts w:eastAsia="Arial"/>
          <w:sz w:val="24"/>
          <w:szCs w:val="24"/>
        </w:rPr>
      </w:pPr>
      <w:r>
        <w:rPr>
          <w:rFonts w:eastAsia="Arial"/>
          <w:iCs/>
          <w:sz w:val="24"/>
          <w:szCs w:val="24"/>
        </w:rPr>
        <w:t>A Prefeitura Municipal de Miraíma-CE</w:t>
      </w:r>
      <w:r>
        <w:rPr>
          <w:rFonts w:eastAsia="Arial"/>
          <w:sz w:val="24"/>
          <w:szCs w:val="24"/>
        </w:rPr>
        <w:t xml:space="preserve">, com sede na Esplanada da Estação, 433, Centro, Miraíma – CE, inscrito(a) no CNPJ sob o N° 10.517.563/0001-05, através da Secretaria ________, neste ato representado(a) pelo(a) ___________, doravante denominado CONTRATANTE, e a Empresa _____________, </w:t>
      </w:r>
      <w:r>
        <w:rPr>
          <w:rFonts w:eastAsia="Arial"/>
          <w:iCs/>
          <w:sz w:val="24"/>
          <w:szCs w:val="24"/>
        </w:rPr>
        <w:t>inscrito(a) no CNPJ/MF sob o nº ............................, sediado(a) na</w:t>
      </w:r>
      <w:r>
        <w:rPr>
          <w:rFonts w:eastAsia="Arial"/>
          <w:sz w:val="24"/>
          <w:szCs w:val="24"/>
        </w:rPr>
        <w:t xml:space="preserve"> ..................................., </w:t>
      </w:r>
      <w:r>
        <w:rPr>
          <w:rFonts w:eastAsia="Arial"/>
          <w:iCs/>
          <w:sz w:val="24"/>
          <w:szCs w:val="24"/>
        </w:rPr>
        <w:t>em</w:t>
      </w:r>
      <w:r>
        <w:rPr>
          <w:rFonts w:eastAsia="Arial"/>
          <w:sz w:val="24"/>
          <w:szCs w:val="24"/>
        </w:rPr>
        <w:t xml:space="preserve"> ............................. doravante designado CONTRATADO, </w:t>
      </w:r>
      <w:r>
        <w:rPr>
          <w:rFonts w:eastAsia="Arial"/>
          <w:iCs/>
          <w:sz w:val="24"/>
          <w:szCs w:val="24"/>
        </w:rPr>
        <w:t>neste ato representado pelo Sr. _______________, inscrito no CPF Nº ______________,</w:t>
      </w:r>
      <w:r>
        <w:rPr>
          <w:rFonts w:eastAsia="Arial"/>
          <w:i/>
          <w:iCs/>
          <w:sz w:val="24"/>
          <w:szCs w:val="24"/>
        </w:rPr>
        <w:t xml:space="preserve"> </w:t>
      </w:r>
      <w:r>
        <w:rPr>
          <w:rFonts w:eastAsia="Arial"/>
          <w:iCs/>
          <w:sz w:val="24"/>
          <w:szCs w:val="24"/>
        </w:rPr>
        <w:t>e</w:t>
      </w:r>
      <w:r>
        <w:rPr>
          <w:rFonts w:eastAsia="Arial"/>
          <w:sz w:val="24"/>
          <w:szCs w:val="24"/>
        </w:rPr>
        <w:t xml:space="preserve">m observância às disposições da Lei nº 14.133, de 1º de abril de 2021, e demais legislação aplicável, resolvem celebrar o presente Termo de Contrato, decorrente </w:t>
      </w:r>
      <w:r>
        <w:rPr>
          <w:rFonts w:eastAsia="Arial"/>
          <w:iCs/>
          <w:sz w:val="24"/>
          <w:szCs w:val="24"/>
        </w:rPr>
        <w:t>do Pregão Eletrônico n. .../...</w:t>
      </w:r>
      <w:r>
        <w:rPr>
          <w:rFonts w:eastAsia="Arial"/>
          <w:sz w:val="24"/>
          <w:szCs w:val="24"/>
        </w:rPr>
        <w:t>, mediante as cláusulas e condições a seguir enunciadas.</w:t>
      </w:r>
    </w:p>
    <w:p>
      <w:pPr>
        <w:spacing w:line="276" w:lineRule="auto"/>
        <w:jc w:val="both"/>
        <w:rPr>
          <w:rFonts w:eastAsia="Arial"/>
          <w:sz w:val="24"/>
          <w:szCs w:val="24"/>
        </w:rPr>
      </w:pPr>
    </w:p>
    <w:p>
      <w:pPr>
        <w:pStyle w:val="Nivel01"/>
        <w:numPr>
          <w:ilvl w:val="0"/>
          <w:numId w:val="43"/>
        </w:numPr>
        <w:spacing w:before="0" w:line="276" w:lineRule="auto"/>
        <w:rPr>
          <w:rFonts w:ascii="Times New Roman" w:hAnsi="Times New Roman" w:cs="Times New Roman"/>
          <w:color w:val="FFFFFF" w:themeColor="background1"/>
          <w:sz w:val="24"/>
          <w:szCs w:val="24"/>
        </w:rPr>
      </w:pPr>
      <w:r>
        <w:rPr>
          <w:rFonts w:ascii="Times New Roman" w:hAnsi="Times New Roman" w:cs="Times New Roman"/>
          <w:sz w:val="24"/>
          <w:szCs w:val="24"/>
        </w:rPr>
        <w:t>CLÁUSULA PRIMEIRA – OBJETO</w:t>
      </w:r>
    </w:p>
    <w:p>
      <w:pPr>
        <w:pStyle w:val="Nivel2"/>
        <w:numPr>
          <w:ilvl w:val="1"/>
          <w:numId w:val="14"/>
        </w:numPr>
        <w:spacing w:before="0" w:after="0"/>
        <w:ind w:left="426"/>
        <w:rPr>
          <w:rFonts w:ascii="Times New Roman" w:hAnsi="Times New Roman" w:cs="Times New Roman"/>
          <w:sz w:val="24"/>
          <w:szCs w:val="24"/>
        </w:rPr>
      </w:pPr>
      <w:r>
        <w:rPr>
          <w:rFonts w:ascii="Times New Roman" w:hAnsi="Times New Roman" w:cs="Times New Roman"/>
          <w:sz w:val="24"/>
          <w:szCs w:val="24"/>
        </w:rPr>
        <w:t>O objeto do presente instrumento é a CONTRATAÇÃO DE EMPRESA ESPECIALIZADA NA PRESTAÇÃO DE SERVIÇOS DE ASSESSORIA ADMINISTRATIVA, NA ELABORAÇÃO DE PROJETOS PARA CAPTAÇÃO DE RECURSOS E PRESTAÇÃO DE CONTAS DE CONVÊNIOS E PROGRAMAS FIRMADOS COM O GOVERNO ESTADUAL E FEDERAL, JUNTO AS DIVERSAS SECRETARIAS DO MUNICÍPIO DE MIRAÍMA/CE, nas condições estabelecidas no Termo de Referência.</w:t>
      </w:r>
    </w:p>
    <w:p>
      <w:pPr>
        <w:pStyle w:val="Nivel2"/>
        <w:spacing w:before="0" w:after="0"/>
        <w:ind w:left="426" w:hanging="426"/>
        <w:rPr>
          <w:rFonts w:ascii="Times New Roman" w:hAnsi="Times New Roman" w:cs="Times New Roman"/>
          <w:sz w:val="24"/>
          <w:szCs w:val="24"/>
        </w:rPr>
      </w:pPr>
      <w:r>
        <w:rPr>
          <w:rFonts w:ascii="Times New Roman" w:hAnsi="Times New Roman" w:cs="Times New Roman"/>
          <w:sz w:val="24"/>
          <w:szCs w:val="24"/>
        </w:rPr>
        <w:t>Objeto da contratação:</w:t>
      </w:r>
    </w:p>
    <w:tbl>
      <w:tblPr>
        <w:tblW w:w="9065" w:type="dxa"/>
        <w:jc w:val="center"/>
        <w:tblCellMar>
          <w:left w:w="70" w:type="dxa"/>
          <w:right w:w="70" w:type="dxa"/>
        </w:tblCellMar>
        <w:tblLook w:val="04A0" w:firstRow="1" w:lastRow="0" w:firstColumn="1" w:lastColumn="0" w:noHBand="0" w:noVBand="1"/>
      </w:tblPr>
      <w:tblGrid>
        <w:gridCol w:w="799"/>
        <w:gridCol w:w="2548"/>
        <w:gridCol w:w="1701"/>
        <w:gridCol w:w="1067"/>
        <w:gridCol w:w="1367"/>
        <w:gridCol w:w="1583"/>
      </w:tblGrid>
      <w:tr>
        <w:trPr>
          <w:trHeight w:val="477"/>
          <w:jc w:val="center"/>
        </w:trPr>
        <w:tc>
          <w:tcPr>
            <w:tcW w:w="853"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b/>
                <w:bCs/>
                <w:color w:val="000000"/>
                <w:sz w:val="24"/>
                <w:szCs w:val="24"/>
              </w:rPr>
            </w:pPr>
            <w:r>
              <w:rPr>
                <w:b/>
                <w:bCs/>
                <w:color w:val="000000"/>
                <w:sz w:val="24"/>
                <w:szCs w:val="24"/>
              </w:rPr>
              <w:t>ITEM</w:t>
            </w: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rPr>
            </w:pPr>
            <w:r>
              <w:rPr>
                <w:b/>
                <w:bCs/>
                <w:color w:val="000000"/>
                <w:sz w:val="24"/>
                <w:szCs w:val="24"/>
              </w:rPr>
              <w:t>ESPECIFICAÇÃO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rPr>
            </w:pPr>
            <w:r>
              <w:rPr>
                <w:b/>
                <w:bCs/>
                <w:color w:val="000000"/>
                <w:sz w:val="24"/>
                <w:szCs w:val="24"/>
              </w:rPr>
              <w:t>UNIDADE DE MEDIDA</w:t>
            </w:r>
          </w:p>
        </w:tc>
        <w:tc>
          <w:tcPr>
            <w:tcW w:w="1013" w:type="dxa"/>
            <w:tcBorders>
              <w:top w:val="single" w:sz="4" w:space="0" w:color="auto"/>
              <w:left w:val="nil"/>
              <w:bottom w:val="single" w:sz="4" w:space="0" w:color="auto"/>
              <w:right w:val="single" w:sz="4" w:space="0" w:color="auto"/>
            </w:tcBorders>
            <w:vAlign w:val="center"/>
          </w:tcPr>
          <w:p>
            <w:pPr>
              <w:spacing w:line="276" w:lineRule="auto"/>
              <w:jc w:val="center"/>
              <w:rPr>
                <w:b/>
                <w:bCs/>
                <w:color w:val="000000"/>
                <w:sz w:val="24"/>
                <w:szCs w:val="24"/>
              </w:rPr>
            </w:pPr>
            <w:r>
              <w:rPr>
                <w:b/>
                <w:bCs/>
                <w:color w:val="000000"/>
                <w:sz w:val="24"/>
                <w:szCs w:val="24"/>
              </w:rPr>
              <w:t>QUANT.</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line="276" w:lineRule="auto"/>
              <w:jc w:val="center"/>
              <w:rPr>
                <w:b/>
                <w:bCs/>
                <w:color w:val="000000"/>
                <w:sz w:val="24"/>
                <w:szCs w:val="24"/>
              </w:rPr>
            </w:pPr>
            <w:r>
              <w:rPr>
                <w:b/>
                <w:bCs/>
                <w:color w:val="000000"/>
                <w:sz w:val="24"/>
                <w:szCs w:val="24"/>
              </w:rPr>
              <w:t>VALOR UNITÁRIO</w:t>
            </w:r>
          </w:p>
        </w:tc>
        <w:tc>
          <w:tcPr>
            <w:tcW w:w="1583" w:type="dxa"/>
            <w:tcBorders>
              <w:top w:val="single" w:sz="4" w:space="0" w:color="auto"/>
              <w:left w:val="nil"/>
              <w:bottom w:val="single" w:sz="4" w:space="0" w:color="auto"/>
              <w:right w:val="single" w:sz="4" w:space="0" w:color="auto"/>
            </w:tcBorders>
            <w:shd w:val="clear" w:color="auto" w:fill="auto"/>
            <w:noWrap/>
            <w:vAlign w:val="center"/>
            <w:hideMark/>
          </w:tcPr>
          <w:p>
            <w:pPr>
              <w:spacing w:line="276" w:lineRule="auto"/>
              <w:jc w:val="center"/>
              <w:rPr>
                <w:b/>
                <w:bCs/>
                <w:color w:val="000000"/>
                <w:sz w:val="24"/>
                <w:szCs w:val="24"/>
              </w:rPr>
            </w:pPr>
            <w:r>
              <w:rPr>
                <w:b/>
                <w:bCs/>
                <w:color w:val="000000"/>
                <w:sz w:val="24"/>
                <w:szCs w:val="24"/>
              </w:rPr>
              <w:t>VALOR TOTAL</w:t>
            </w:r>
          </w:p>
        </w:tc>
      </w:tr>
      <w:tr>
        <w:trPr>
          <w:trHeight w:val="260"/>
          <w:jc w:val="center"/>
        </w:trPr>
        <w:tc>
          <w:tcPr>
            <w:tcW w:w="853"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color w:val="000000"/>
                <w:sz w:val="24"/>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013"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583"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r>
      <w:tr>
        <w:trPr>
          <w:trHeight w:val="260"/>
          <w:jc w:val="center"/>
        </w:trPr>
        <w:tc>
          <w:tcPr>
            <w:tcW w:w="853"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color w:val="000000"/>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013"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583"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r>
      <w:tr>
        <w:trPr>
          <w:trHeight w:val="260"/>
          <w:jc w:val="center"/>
        </w:trPr>
        <w:tc>
          <w:tcPr>
            <w:tcW w:w="853" w:type="dxa"/>
            <w:tcBorders>
              <w:top w:val="single" w:sz="4" w:space="0" w:color="auto"/>
              <w:left w:val="single" w:sz="4" w:space="0" w:color="auto"/>
              <w:bottom w:val="single" w:sz="4" w:space="0" w:color="auto"/>
              <w:right w:val="single" w:sz="4" w:space="0" w:color="auto"/>
            </w:tcBorders>
            <w:vAlign w:val="center"/>
          </w:tcPr>
          <w:p>
            <w:pPr>
              <w:spacing w:line="276" w:lineRule="auto"/>
              <w:jc w:val="center"/>
              <w:rPr>
                <w:sz w:val="24"/>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pPr>
              <w:spacing w:line="276" w:lineRule="auto"/>
              <w:jc w:val="both"/>
              <w:rPr>
                <w:color w:val="000000"/>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013" w:type="dxa"/>
            <w:tcBorders>
              <w:top w:val="single" w:sz="4" w:space="0" w:color="auto"/>
              <w:left w:val="nil"/>
              <w:bottom w:val="single" w:sz="4" w:space="0" w:color="auto"/>
              <w:right w:val="single" w:sz="4" w:space="0" w:color="auto"/>
            </w:tcBorders>
            <w:vAlign w:val="center"/>
          </w:tcPr>
          <w:p>
            <w:pPr>
              <w:spacing w:line="276" w:lineRule="auto"/>
              <w:jc w:val="center"/>
              <w:rPr>
                <w:color w:val="000000"/>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c>
          <w:tcPr>
            <w:tcW w:w="1583" w:type="dxa"/>
            <w:tcBorders>
              <w:top w:val="nil"/>
              <w:left w:val="nil"/>
              <w:bottom w:val="single" w:sz="4" w:space="0" w:color="auto"/>
              <w:right w:val="single" w:sz="4" w:space="0" w:color="auto"/>
            </w:tcBorders>
            <w:shd w:val="clear" w:color="auto" w:fill="auto"/>
            <w:noWrap/>
            <w:vAlign w:val="center"/>
          </w:tcPr>
          <w:p>
            <w:pPr>
              <w:spacing w:line="276" w:lineRule="auto"/>
              <w:jc w:val="center"/>
              <w:rPr>
                <w:color w:val="000000"/>
                <w:sz w:val="24"/>
                <w:szCs w:val="24"/>
              </w:rPr>
            </w:pPr>
          </w:p>
        </w:tc>
      </w:tr>
    </w:tbl>
    <w:p>
      <w:pPr>
        <w:pStyle w:val="Nivel2"/>
        <w:spacing w:before="0" w:after="0"/>
        <w:rPr>
          <w:rFonts w:ascii="Times New Roman" w:hAnsi="Times New Roman" w:cs="Times New Roman"/>
          <w:sz w:val="24"/>
          <w:szCs w:val="24"/>
        </w:rPr>
      </w:pPr>
      <w:r>
        <w:rPr>
          <w:rFonts w:ascii="Times New Roman" w:hAnsi="Times New Roman" w:cs="Times New Roman"/>
          <w:sz w:val="24"/>
          <w:szCs w:val="24"/>
        </w:rPr>
        <w:t>Vinculam esta contratação, independentemente de transcrição: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Termo de Referência;</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O Edital da Licitação;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Proposta do contratado;</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Eventuais anexos dos documentos supracitados.</w:t>
      </w:r>
    </w:p>
    <w:p>
      <w:pPr>
        <w:pStyle w:val="Nivel01"/>
        <w:spacing w:before="0" w:line="276" w:lineRule="auto"/>
        <w:ind w:left="284" w:hanging="284"/>
        <w:rPr>
          <w:rFonts w:ascii="Times New Roman" w:hAnsi="Times New Roman" w:cs="Times New Roman"/>
          <w:color w:val="FFFFFF" w:themeColor="background1"/>
          <w:sz w:val="24"/>
          <w:szCs w:val="24"/>
        </w:rPr>
      </w:pPr>
      <w:r>
        <w:rPr>
          <w:rFonts w:ascii="Times New Roman" w:hAnsi="Times New Roman" w:cs="Times New Roman"/>
          <w:sz w:val="24"/>
          <w:szCs w:val="24"/>
        </w:rPr>
        <w:t>CLÁUSULA SEGUNDA – VIGÊNCIA E PRORROGAÇÃO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O prazo de vigência da contratação é de 12 (doze) meses, contados da data de assinatura, prorrogável por até 10 anos, na forma dos </w:t>
      </w:r>
      <w:hyperlink r:id="rId61" w:anchor="art106" w:history="1">
        <w:r>
          <w:rPr>
            <w:rStyle w:val="Hyperlink"/>
            <w:rFonts w:ascii="Times New Roman" w:hAnsi="Times New Roman" w:cs="Times New Roman"/>
            <w:i w:val="0"/>
            <w:color w:val="auto"/>
            <w:sz w:val="24"/>
            <w:szCs w:val="24"/>
            <w:u w:val="none"/>
          </w:rPr>
          <w:t>artigos 105 e 107 da Lei n° 14.133, de 2021.</w:t>
        </w:r>
      </w:hyperlink>
    </w:p>
    <w:p>
      <w:pPr>
        <w:pStyle w:val="Nvel2-Red"/>
        <w:numPr>
          <w:ilvl w:val="1"/>
          <w:numId w:val="2"/>
        </w:numPr>
        <w:spacing w:before="0" w:after="0"/>
        <w:ind w:left="0" w:firstLine="0"/>
        <w:rPr>
          <w:rFonts w:ascii="Times New Roman" w:hAnsi="Times New Roman" w:cs="Times New Roman"/>
          <w:i w:val="0"/>
          <w:iCs w:val="0"/>
          <w:color w:val="auto"/>
          <w:sz w:val="24"/>
          <w:szCs w:val="24"/>
        </w:rPr>
      </w:pPr>
      <w:r>
        <w:rPr>
          <w:rFonts w:ascii="Times New Roman" w:hAnsi="Times New Roman" w:cs="Times New Roman"/>
          <w:i w:val="0"/>
          <w:color w:val="auto"/>
          <w:sz w:val="24"/>
          <w:szCs w:val="24"/>
        </w:rPr>
        <w:lastRenderedPageBreak/>
        <w:t xml:space="preserve">A prorrogação de que trata este item é condicionada ao ateste, pela autoridade competente, de que as condições e os preços permanecem vantajosos para a Administração, permitida a negociação com o contratado, </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contratado não tem direito subjetivo à prorrogação contratual.</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A prorrogação de contrato deverá ser promovida mediante celebração de termo aditivo. </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TERCEIRA – MODELOS DE EXECUÇÃO E GESTÃO CONTRATUAIS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QUARTA – SUBCONTRATAÇÃO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Não será admitida a subcontratação do objeto contratual.</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QUINTA – PREÇO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valor Global da contratação é de R$..........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valor acima é meramente estimativo, de forma que os pagamentos devidos ao contratado dependerão dos quantitativos efetivamente fornecidos.</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SEXTA - PAGAMENTO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prazo para pagamento </w:t>
      </w:r>
      <w:r>
        <w:rPr>
          <w:rFonts w:ascii="Times New Roman" w:hAnsi="Times New Roman" w:cs="Times New Roman"/>
          <w:color w:val="auto"/>
          <w:sz w:val="24"/>
          <w:szCs w:val="24"/>
          <w:lang w:eastAsia="en-US"/>
        </w:rPr>
        <w:t>ao contratado</w:t>
      </w:r>
      <w:r>
        <w:rPr>
          <w:rFonts w:ascii="Times New Roman" w:hAnsi="Times New Roman" w:cs="Times New Roman"/>
          <w:sz w:val="24"/>
          <w:szCs w:val="24"/>
        </w:rPr>
        <w:t xml:space="preserve"> e demais condições a ele referentes encontram-se definidos no Termo de Referência, anexo a este Contrato.</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SÉTIMA - REAJUSTE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Os preços inicialmente contratados são fixos e irreajustáveis no prazo de um ano contado da data do orçamento estimado.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Após o interregno de um ano, por interesse e iniciativa das partes, os preços iniciais poderão ser reajustados, mediante a aplicação, pelo contratante, do Índice Geral de Preços de Mercado (IGPM)</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iniciadas e concluídas após a ocorrência da anualidade.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Nos reajustes subsequentes ao primeiro, o interregno mínimo de um ano será contado a partir dos efeitos financeiros do último reajuste.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Nas aferições finais, o(s) índice(s) utilizado(s) para reajuste será(ão), obrigatoriamente, o(s) definitivo(s).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reajuste será realizado por apostilamento.</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OITAVA - OBRIGAÇÕES DO CONTRATANTE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São obrigações do Contratante: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Exigir o cumprimento de todas as obrigações assumidas pelo Contratado, de acordo com o contrato e seus anexos;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Receber o objeto no prazo e condições estabelecidas no Termo de Referência;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Acompanhar e fiscalizar a execução do contrato e o cumprimento das obrigações pelo Contratado;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Aplicar ao Contratado as sanções previstas na lei e neste Contrato;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Cientificar o órgão de representação judicial da Procuradoria-Geral da Município para adoção das medidas cabíveis quando do descumprimento de obrigações pelo Contratado;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Responder eventuais pedidos de reestabelecimento do equilíbrio econômico-financeiro feitos pelo contratado.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Notificar os emitentes das garantias quanto ao início de processo administrativo para apuração de descumprimento de cláusulas contratuais.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Comunicar o Contratado na hipótese de posterior alteração do projeto pelo Contratante, no caso </w:t>
      </w:r>
      <w:hyperlink r:id="rId62" w:anchor="art93§2" w:history="1">
        <w:r>
          <w:rPr>
            <w:rStyle w:val="Hyperlink"/>
            <w:rFonts w:ascii="Times New Roman" w:hAnsi="Times New Roman" w:cs="Times New Roman"/>
            <w:sz w:val="24"/>
            <w:szCs w:val="24"/>
          </w:rPr>
          <w:t>do art. 93, §2º,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NONA - OBRIGAÇÕES DO CONTRATADO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Manter preposto aceito pela Administração no local do serviço para representá-lo na execução do contrato.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indicação ou a manutenção do preposto da empresa poderá ser recusada pelo órgão ou entidade, desde que devidamente justificada, devendo a empresa designar outro para o exercício da atividade.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Atender às determinações regulares emitidas pelo fiscal do contrato ou autoridade superior (</w:t>
      </w:r>
      <w:hyperlink r:id="rId63" w:anchor="art137" w:history="1">
        <w:r>
          <w:rPr>
            <w:rStyle w:val="Hyperlink"/>
            <w:rFonts w:ascii="Times New Roman" w:hAnsi="Times New Roman" w:cs="Times New Roman"/>
            <w:sz w:val="24"/>
            <w:szCs w:val="24"/>
          </w:rPr>
          <w:t>art. 137, II</w:t>
        </w:r>
      </w:hyperlink>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e </w:t>
      </w:r>
      <w:r>
        <w:rPr>
          <w:rFonts w:ascii="Times New Roman" w:hAnsi="Times New Roman" w:cs="Times New Roman"/>
          <w:sz w:val="24"/>
          <w:szCs w:val="24"/>
        </w:rPr>
        <w:t>prestar todo esclarecimento ou informação por eles solicitados</w:t>
      </w:r>
      <w:r>
        <w:rPr>
          <w:rFonts w:ascii="Times New Roman" w:hAnsi="Times New Roman" w:cs="Times New Roman"/>
          <w:color w:val="000000" w:themeColor="text1"/>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Responsabilizar-se pelos vícios e danos decorrentes da execução do objeto, de acordo com o </w:t>
      </w:r>
      <w:hyperlink r:id="rId64" w:history="1">
        <w:r>
          <w:rPr>
            <w:rStyle w:val="Hyperlink"/>
            <w:rFonts w:ascii="Times New Roman" w:hAnsi="Times New Roman" w:cs="Times New Roman"/>
            <w:sz w:val="24"/>
            <w:szCs w:val="24"/>
          </w:rPr>
          <w:t>Código de Defesa do Consumidor (Lei nº 8.078, de 1990</w:t>
        </w:r>
      </w:hyperlink>
      <w:r>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65" w:anchor="art48" w:history="1">
        <w:r>
          <w:rPr>
            <w:rStyle w:val="Hyperlink"/>
            <w:rFonts w:ascii="Times New Roman" w:hAnsi="Times New Roman" w:cs="Times New Roman"/>
            <w:sz w:val="24"/>
            <w:szCs w:val="24"/>
          </w:rPr>
          <w:t>artigo 48, parágrafo único,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Responsabilizar-se pelo cumprimento das obrigações previstas em Acordo, Convenção, Dissídio Coletivo de Trabalho ou equivalentes das categorias abrangidas pelo contrato, por todas </w:t>
      </w:r>
      <w:r>
        <w:rPr>
          <w:rFonts w:ascii="Times New Roman" w:hAnsi="Times New Roman" w:cs="Times New Roman"/>
          <w:sz w:val="24"/>
          <w:szCs w:val="24"/>
        </w:rPr>
        <w:lastRenderedPageBreak/>
        <w:t xml:space="preserve">as obrigações trabalhistas, sociais, previdenciárias, tributárias e as demais previstas em legislação específica, cuja inadimplência não transfere a responsabilidade ao Contratante;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Comunicar ao Fiscal do contrato, no prazo de 24 (vinte e quatro) horas, qualquer ocorrência anormal ou acidente que se verifique no local dos serviços.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Prestar todo esclarecimento ou informação solicitada pelo Contratante ou por seus prepostos, garantindo-lhes o acesso, a qualquer tempo, ao local dos trabalhos, bem como aos documentos relativos à execução do empreendimento.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Promover a guarda, manutenção e vigilância de materiais, ferramentas, e tudo o que for necessário à execução do objeto, durante a vigência do contrato.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Submeter previamente, por escrito, ao Contratante, para análise e aprovação, quaisquer mudanças nos métodos executivos que fujam às especificações do memorial descritivo ou instrumento congênere.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 Manter durante toda a vigência do contrato, em compatibilidade com as obrigações assumidas, todas as condições exigidas para habilitação na licitação;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Guardar sigilo sobre todas as informações obtidas em decorrência do cumprimento do contrato;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6" w:anchor="art124" w:history="1">
        <w:r>
          <w:rPr>
            <w:rStyle w:val="Hyperlink"/>
            <w:rFonts w:ascii="Times New Roman" w:hAnsi="Times New Roman" w:cs="Times New Roman"/>
            <w:sz w:val="24"/>
            <w:szCs w:val="24"/>
          </w:rPr>
          <w:t>art. 124, II, d,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Cumprir, além dos postulados legais vigentes de âmbito federal, estadual ou municipal, as normas de segurança do Contratante;</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 GARANTIA DE EXECUÇÃO</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Não haverá exigência de garantia contratual da execução.</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PRIMEIRA – INFRAÇÕES E SANÇÕES ADMINISTRATIVAS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Comete infração administrativa, nos termos da </w:t>
      </w:r>
      <w:hyperlink r:id="rId67"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o contratado que:</w:t>
      </w:r>
    </w:p>
    <w:p>
      <w:pPr>
        <w:numPr>
          <w:ilvl w:val="2"/>
          <w:numId w:val="44"/>
        </w:numPr>
        <w:spacing w:line="276" w:lineRule="auto"/>
        <w:jc w:val="both"/>
        <w:rPr>
          <w:rFonts w:eastAsia="Arial"/>
          <w:sz w:val="24"/>
          <w:szCs w:val="24"/>
        </w:rPr>
      </w:pPr>
      <w:r>
        <w:rPr>
          <w:rFonts w:eastAsia="Arial"/>
          <w:sz w:val="24"/>
          <w:szCs w:val="24"/>
        </w:rPr>
        <w:t>der causa à inexecução parcial do contrato;</w:t>
      </w:r>
    </w:p>
    <w:p>
      <w:pPr>
        <w:numPr>
          <w:ilvl w:val="2"/>
          <w:numId w:val="44"/>
        </w:numPr>
        <w:spacing w:line="276" w:lineRule="auto"/>
        <w:ind w:left="284" w:firstLine="0"/>
        <w:jc w:val="both"/>
        <w:rPr>
          <w:rFonts w:eastAsia="Arial"/>
          <w:sz w:val="24"/>
          <w:szCs w:val="24"/>
        </w:rPr>
      </w:pPr>
      <w:r>
        <w:rPr>
          <w:rFonts w:eastAsia="Arial"/>
          <w:sz w:val="24"/>
          <w:szCs w:val="24"/>
        </w:rPr>
        <w:lastRenderedPageBreak/>
        <w:t>der causa à inexecução parcial do contrato que cause grave dano à Administração ou ao funcionamento dos serviços públicos ou ao interesse coletivo;</w:t>
      </w:r>
    </w:p>
    <w:p>
      <w:pPr>
        <w:numPr>
          <w:ilvl w:val="2"/>
          <w:numId w:val="44"/>
        </w:numPr>
        <w:spacing w:line="276" w:lineRule="auto"/>
        <w:ind w:left="284" w:firstLine="0"/>
        <w:jc w:val="both"/>
        <w:rPr>
          <w:rFonts w:eastAsia="Arial"/>
          <w:sz w:val="24"/>
          <w:szCs w:val="24"/>
        </w:rPr>
      </w:pPr>
      <w:r>
        <w:rPr>
          <w:rFonts w:eastAsia="Arial"/>
          <w:sz w:val="24"/>
          <w:szCs w:val="24"/>
        </w:rPr>
        <w:t>der causa à inexecução total do contrato;</w:t>
      </w:r>
    </w:p>
    <w:p>
      <w:pPr>
        <w:numPr>
          <w:ilvl w:val="2"/>
          <w:numId w:val="44"/>
        </w:numPr>
        <w:spacing w:line="276" w:lineRule="auto"/>
        <w:ind w:left="284" w:firstLine="0"/>
        <w:jc w:val="both"/>
        <w:rPr>
          <w:rFonts w:eastAsia="Arial"/>
          <w:sz w:val="24"/>
          <w:szCs w:val="24"/>
        </w:rPr>
      </w:pPr>
      <w:r>
        <w:rPr>
          <w:rFonts w:eastAsia="Arial"/>
          <w:sz w:val="24"/>
          <w:szCs w:val="24"/>
        </w:rPr>
        <w:t>ensejar o retardamento da execução ou da entrega do objeto da contratação sem motivo justificado;</w:t>
      </w:r>
    </w:p>
    <w:p>
      <w:pPr>
        <w:numPr>
          <w:ilvl w:val="2"/>
          <w:numId w:val="44"/>
        </w:numPr>
        <w:spacing w:line="276" w:lineRule="auto"/>
        <w:ind w:left="284" w:firstLine="0"/>
        <w:jc w:val="both"/>
        <w:rPr>
          <w:rFonts w:eastAsia="Arial"/>
          <w:sz w:val="24"/>
          <w:szCs w:val="24"/>
        </w:rPr>
      </w:pPr>
      <w:r>
        <w:rPr>
          <w:rFonts w:eastAsia="Arial"/>
          <w:sz w:val="24"/>
          <w:szCs w:val="24"/>
        </w:rPr>
        <w:t>apresentar documentação falsa ou prestar declaração falsa durante a execução do contrato;</w:t>
      </w:r>
    </w:p>
    <w:p>
      <w:pPr>
        <w:numPr>
          <w:ilvl w:val="2"/>
          <w:numId w:val="44"/>
        </w:numPr>
        <w:spacing w:line="276" w:lineRule="auto"/>
        <w:ind w:left="284" w:firstLine="0"/>
        <w:jc w:val="both"/>
        <w:rPr>
          <w:rFonts w:eastAsia="Arial"/>
          <w:sz w:val="24"/>
          <w:szCs w:val="24"/>
        </w:rPr>
      </w:pPr>
      <w:r>
        <w:rPr>
          <w:rFonts w:eastAsia="Arial"/>
          <w:sz w:val="24"/>
          <w:szCs w:val="24"/>
        </w:rPr>
        <w:t>praticar ato fraudulento na execução do contrato;</w:t>
      </w:r>
    </w:p>
    <w:p>
      <w:pPr>
        <w:numPr>
          <w:ilvl w:val="2"/>
          <w:numId w:val="44"/>
        </w:numPr>
        <w:spacing w:line="276" w:lineRule="auto"/>
        <w:ind w:left="284" w:firstLine="0"/>
        <w:jc w:val="both"/>
        <w:rPr>
          <w:rFonts w:eastAsia="Arial"/>
          <w:sz w:val="24"/>
          <w:szCs w:val="24"/>
        </w:rPr>
      </w:pPr>
      <w:r>
        <w:rPr>
          <w:rFonts w:eastAsia="Arial"/>
          <w:sz w:val="24"/>
          <w:szCs w:val="24"/>
        </w:rPr>
        <w:t>comportar-se de modo inidôneo ou cometer fraude de qualquer natureza;</w:t>
      </w:r>
    </w:p>
    <w:p>
      <w:pPr>
        <w:numPr>
          <w:ilvl w:val="2"/>
          <w:numId w:val="44"/>
        </w:numPr>
        <w:spacing w:line="276" w:lineRule="auto"/>
        <w:ind w:left="284" w:firstLine="0"/>
        <w:jc w:val="both"/>
        <w:rPr>
          <w:rFonts w:eastAsia="Arial"/>
          <w:sz w:val="24"/>
          <w:szCs w:val="24"/>
        </w:rPr>
      </w:pPr>
      <w:r>
        <w:rPr>
          <w:rFonts w:eastAsia="Arial"/>
          <w:sz w:val="24"/>
          <w:szCs w:val="24"/>
        </w:rPr>
        <w:t>praticar ato lesivo previsto no art. 5º da Lei nº 12.846, de 1º de agosto de 2013.</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Serão aplicadas ao contratado que incorrer nas infrações acima descritas as seguintes sanções:</w:t>
      </w:r>
    </w:p>
    <w:p>
      <w:pPr>
        <w:numPr>
          <w:ilvl w:val="2"/>
          <w:numId w:val="45"/>
        </w:numPr>
        <w:spacing w:line="276" w:lineRule="auto"/>
        <w:contextualSpacing/>
        <w:jc w:val="both"/>
        <w:rPr>
          <w:rFonts w:eastAsia="Arial"/>
          <w:sz w:val="24"/>
          <w:szCs w:val="24"/>
        </w:rPr>
      </w:pPr>
      <w:r>
        <w:rPr>
          <w:rFonts w:eastAsia="Arial"/>
          <w:b/>
          <w:bCs/>
          <w:sz w:val="24"/>
          <w:szCs w:val="24"/>
        </w:rPr>
        <w:t>Advertência</w:t>
      </w:r>
      <w:r>
        <w:rPr>
          <w:rFonts w:eastAsia="Arial"/>
          <w:sz w:val="24"/>
          <w:szCs w:val="24"/>
        </w:rPr>
        <w:t>, quando o contratado der causa à inexecução parcial do contrato, sempre que não se justificar a imposição de penalidade mais grave (</w:t>
      </w:r>
      <w:hyperlink r:id="rId68" w:anchor="art156§2" w:history="1">
        <w:r>
          <w:rPr>
            <w:rStyle w:val="Hyperlink"/>
            <w:rFonts w:eastAsia="Arial"/>
            <w:sz w:val="24"/>
            <w:szCs w:val="24"/>
          </w:rPr>
          <w:t>art. 156, §2º, da Lei nº 14.133, de 2021</w:t>
        </w:r>
      </w:hyperlink>
      <w:r>
        <w:rPr>
          <w:rFonts w:eastAsia="Arial"/>
          <w:sz w:val="24"/>
          <w:szCs w:val="24"/>
        </w:rPr>
        <w:t>);</w:t>
      </w:r>
    </w:p>
    <w:p>
      <w:pPr>
        <w:numPr>
          <w:ilvl w:val="2"/>
          <w:numId w:val="45"/>
        </w:numPr>
        <w:spacing w:line="276" w:lineRule="auto"/>
        <w:ind w:left="284" w:firstLine="0"/>
        <w:contextualSpacing/>
        <w:jc w:val="both"/>
        <w:rPr>
          <w:rFonts w:eastAsia="Arial"/>
          <w:sz w:val="24"/>
          <w:szCs w:val="24"/>
        </w:rPr>
      </w:pPr>
      <w:r>
        <w:rPr>
          <w:rFonts w:eastAsia="Arial"/>
          <w:b/>
          <w:bCs/>
          <w:sz w:val="24"/>
          <w:szCs w:val="24"/>
        </w:rPr>
        <w:t>Impedimento de licitar e contratar</w:t>
      </w:r>
      <w:r>
        <w:rPr>
          <w:rFonts w:eastAsia="Arial"/>
          <w:sz w:val="24"/>
          <w:szCs w:val="24"/>
        </w:rPr>
        <w:t>, quando praticadas as condutas descritas nas alíneas “b”, “c” e “d” do subitem acima deste Contrato, sempre que não se justificar a imposição de penalidade mais grave (</w:t>
      </w:r>
      <w:hyperlink r:id="rId69" w:anchor="art156§4" w:history="1">
        <w:r>
          <w:rPr>
            <w:rStyle w:val="Hyperlink"/>
            <w:rFonts w:eastAsia="Arial"/>
            <w:sz w:val="24"/>
            <w:szCs w:val="24"/>
          </w:rPr>
          <w:t>art. 156, § 4º, da Lei nº 14.133, de 2021</w:t>
        </w:r>
      </w:hyperlink>
      <w:r>
        <w:rPr>
          <w:rFonts w:eastAsia="Arial"/>
          <w:sz w:val="24"/>
          <w:szCs w:val="24"/>
        </w:rPr>
        <w:t>);</w:t>
      </w:r>
    </w:p>
    <w:p>
      <w:pPr>
        <w:numPr>
          <w:ilvl w:val="2"/>
          <w:numId w:val="45"/>
        </w:numPr>
        <w:spacing w:line="276" w:lineRule="auto"/>
        <w:ind w:left="284" w:firstLine="0"/>
        <w:contextualSpacing/>
        <w:jc w:val="both"/>
        <w:rPr>
          <w:rFonts w:eastAsia="Arial"/>
          <w:sz w:val="24"/>
          <w:szCs w:val="24"/>
        </w:rPr>
      </w:pPr>
      <w:r>
        <w:rPr>
          <w:rFonts w:eastAsia="Arial"/>
          <w:b/>
          <w:bCs/>
          <w:sz w:val="24"/>
          <w:szCs w:val="24"/>
        </w:rPr>
        <w:t>Declaração de inidoneidade para licitar e contratar</w:t>
      </w:r>
      <w:r>
        <w:rPr>
          <w:rFonts w:eastAsia="Arial"/>
          <w:sz w:val="24"/>
          <w:szCs w:val="24"/>
        </w:rPr>
        <w:t>, quando praticadas as condutas descritas nas alíneas “e”, “f”, “g” e “h” do subitem acima deste Contrato, bem como nas alíneas “b”, “c” e “d”, que justifiquem a imposição de penalidade mais grave (</w:t>
      </w:r>
      <w:hyperlink r:id="rId70" w:anchor="art156§5" w:history="1">
        <w:r>
          <w:rPr>
            <w:rStyle w:val="Hyperlink"/>
            <w:rFonts w:eastAsia="Arial"/>
            <w:sz w:val="24"/>
            <w:szCs w:val="24"/>
          </w:rPr>
          <w:t>art. 156, §5º, da Lei nº 14.133, de 2021</w:t>
        </w:r>
      </w:hyperlink>
      <w:r>
        <w:rPr>
          <w:rFonts w:eastAsia="Arial"/>
          <w:sz w:val="24"/>
          <w:szCs w:val="24"/>
        </w:rPr>
        <w:t>).</w:t>
      </w:r>
    </w:p>
    <w:p>
      <w:pPr>
        <w:numPr>
          <w:ilvl w:val="2"/>
          <w:numId w:val="45"/>
        </w:numPr>
        <w:spacing w:line="276" w:lineRule="auto"/>
        <w:ind w:left="284" w:firstLine="0"/>
        <w:contextualSpacing/>
        <w:jc w:val="both"/>
        <w:rPr>
          <w:rFonts w:eastAsia="Arial"/>
          <w:sz w:val="24"/>
          <w:szCs w:val="24"/>
        </w:rPr>
      </w:pPr>
      <w:r>
        <w:rPr>
          <w:rFonts w:eastAsia="Arial"/>
          <w:b/>
          <w:bCs/>
          <w:sz w:val="24"/>
          <w:szCs w:val="24"/>
        </w:rPr>
        <w:t>Multa:</w:t>
      </w:r>
    </w:p>
    <w:p>
      <w:pPr>
        <w:pStyle w:val="PargrafodaLista"/>
        <w:numPr>
          <w:ilvl w:val="0"/>
          <w:numId w:val="19"/>
        </w:numPr>
        <w:spacing w:after="0"/>
        <w:ind w:left="709" w:hanging="425"/>
        <w:jc w:val="both"/>
        <w:rPr>
          <w:rFonts w:ascii="Times New Roman" w:hAnsi="Times New Roman"/>
          <w:sz w:val="24"/>
          <w:szCs w:val="24"/>
        </w:rPr>
      </w:pPr>
      <w:r>
        <w:rPr>
          <w:rFonts w:ascii="Times New Roman" w:hAnsi="Times New Roman"/>
          <w:sz w:val="24"/>
          <w:szCs w:val="24"/>
        </w:rPr>
        <w:t>moratória de 0,5% (cinco décimos por cento) por dia de atraso injustificado sobre o valor da parcela inadimplida, até o limite de 30% (trinta por cento) do contrato ou instrumento equivalente;</w:t>
      </w:r>
    </w:p>
    <w:p>
      <w:pPr>
        <w:pStyle w:val="PargrafodaLista"/>
        <w:numPr>
          <w:ilvl w:val="0"/>
          <w:numId w:val="19"/>
        </w:numPr>
        <w:spacing w:after="0"/>
        <w:ind w:left="709" w:hanging="425"/>
        <w:jc w:val="both"/>
        <w:rPr>
          <w:rFonts w:ascii="Times New Roman" w:hAnsi="Times New Roman"/>
          <w:sz w:val="24"/>
          <w:szCs w:val="24"/>
        </w:rPr>
      </w:pPr>
      <w:r>
        <w:rPr>
          <w:rFonts w:ascii="Times New Roman" w:hAnsi="Times New Roman"/>
          <w:sz w:val="24"/>
          <w:szCs w:val="24"/>
        </w:rPr>
        <w:t>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pPr>
        <w:pStyle w:val="PargrafodaLista"/>
        <w:numPr>
          <w:ilvl w:val="0"/>
          <w:numId w:val="19"/>
        </w:numPr>
        <w:spacing w:after="0"/>
        <w:ind w:left="709" w:hanging="425"/>
        <w:jc w:val="both"/>
        <w:rPr>
          <w:rFonts w:ascii="Times New Roman" w:hAnsi="Times New Roman"/>
          <w:sz w:val="24"/>
          <w:szCs w:val="24"/>
        </w:rPr>
      </w:pPr>
      <w:r>
        <w:rPr>
          <w:rFonts w:ascii="Times New Roman" w:hAnsi="Times New Roman"/>
          <w:sz w:val="24"/>
          <w:szCs w:val="24"/>
        </w:rPr>
        <w:t>compensatória de até 3% (três por cento) sobre o valor de referência ao licitante ou contratada que retardar o procedimento de contratação, descumprir preceito normativo ou obrigações assumidas, tais como:</w:t>
      </w:r>
    </w:p>
    <w:p>
      <w:pPr>
        <w:pStyle w:val="PargrafodaLista"/>
        <w:spacing w:after="0"/>
        <w:jc w:val="both"/>
        <w:rPr>
          <w:rFonts w:ascii="Times New Roman" w:hAnsi="Times New Roman"/>
          <w:sz w:val="24"/>
          <w:szCs w:val="24"/>
        </w:rPr>
      </w:pPr>
      <w:r>
        <w:rPr>
          <w:rFonts w:ascii="Times New Roman" w:hAnsi="Times New Roman"/>
          <w:sz w:val="24"/>
          <w:szCs w:val="24"/>
        </w:rPr>
        <w:t>I - propor recursos manifestamente protelatórios em sede de contratação direta;</w:t>
      </w:r>
    </w:p>
    <w:p>
      <w:pPr>
        <w:pStyle w:val="PargrafodaLista"/>
        <w:spacing w:after="0"/>
        <w:jc w:val="both"/>
        <w:rPr>
          <w:rFonts w:ascii="Times New Roman" w:hAnsi="Times New Roman"/>
          <w:sz w:val="24"/>
          <w:szCs w:val="24"/>
        </w:rPr>
      </w:pPr>
      <w:r>
        <w:rPr>
          <w:rFonts w:ascii="Times New Roman" w:hAnsi="Times New Roman"/>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pPr>
        <w:pStyle w:val="PargrafodaLista"/>
        <w:spacing w:after="0"/>
        <w:jc w:val="both"/>
        <w:rPr>
          <w:rFonts w:ascii="Times New Roman" w:hAnsi="Times New Roman"/>
          <w:sz w:val="24"/>
          <w:szCs w:val="24"/>
        </w:rPr>
      </w:pPr>
      <w:r>
        <w:rPr>
          <w:rFonts w:ascii="Times New Roman" w:hAnsi="Times New Roman"/>
          <w:sz w:val="24"/>
          <w:szCs w:val="24"/>
        </w:rPr>
        <w:t>III – deixar de cumprir as exigências de reserva de cargos previstas em lei, bem como em outras normas específicas, para pessoa com deficiência, para reabilitado da Previdência Social e para aprendiz;</w:t>
      </w:r>
    </w:p>
    <w:p>
      <w:pPr>
        <w:pStyle w:val="PargrafodaLista"/>
        <w:spacing w:after="0"/>
        <w:jc w:val="both"/>
        <w:rPr>
          <w:rFonts w:ascii="Times New Roman" w:hAnsi="Times New Roman"/>
          <w:sz w:val="24"/>
          <w:szCs w:val="24"/>
        </w:rPr>
      </w:pPr>
      <w:r>
        <w:rPr>
          <w:rFonts w:ascii="Times New Roman" w:hAnsi="Times New Roman"/>
          <w:sz w:val="24"/>
          <w:szCs w:val="24"/>
        </w:rPr>
        <w:t>IV – deixar de cumprir o modelo de gestão do contrato;</w:t>
      </w:r>
    </w:p>
    <w:p>
      <w:pPr>
        <w:pStyle w:val="PargrafodaLista"/>
        <w:spacing w:after="0"/>
        <w:jc w:val="both"/>
        <w:rPr>
          <w:rFonts w:ascii="Times New Roman" w:hAnsi="Times New Roman"/>
          <w:sz w:val="24"/>
          <w:szCs w:val="24"/>
        </w:rPr>
      </w:pPr>
      <w:r>
        <w:rPr>
          <w:rFonts w:ascii="Times New Roman" w:hAnsi="Times New Roman"/>
          <w:sz w:val="24"/>
          <w:szCs w:val="24"/>
        </w:rPr>
        <w:t>V – deixar de complementar o valor da garantia recolhida após solicitação do Contratante;</w:t>
      </w:r>
    </w:p>
    <w:p>
      <w:pPr>
        <w:pStyle w:val="PargrafodaLista"/>
        <w:spacing w:after="0"/>
        <w:jc w:val="both"/>
        <w:rPr>
          <w:rFonts w:ascii="Times New Roman" w:hAnsi="Times New Roman"/>
          <w:sz w:val="24"/>
          <w:szCs w:val="24"/>
        </w:rPr>
      </w:pPr>
      <w:r>
        <w:rPr>
          <w:rFonts w:ascii="Times New Roman" w:hAnsi="Times New Roman"/>
          <w:sz w:val="24"/>
          <w:szCs w:val="24"/>
        </w:rPr>
        <w:lastRenderedPageBreak/>
        <w:t>VI – não devolver os valores pagos indevidamente pelo Contratante;</w:t>
      </w:r>
    </w:p>
    <w:p>
      <w:pPr>
        <w:pStyle w:val="PargrafodaLista"/>
        <w:spacing w:after="0"/>
        <w:jc w:val="both"/>
        <w:rPr>
          <w:rFonts w:ascii="Times New Roman" w:hAnsi="Times New Roman"/>
          <w:sz w:val="24"/>
          <w:szCs w:val="24"/>
        </w:rPr>
      </w:pPr>
      <w:r>
        <w:rPr>
          <w:rFonts w:ascii="Times New Roman" w:hAnsi="Times New Roman"/>
          <w:sz w:val="24"/>
          <w:szCs w:val="24"/>
        </w:rPr>
        <w:t>VII – não manter, durante a execução do contrato, todas as condições exigidas para a habilitação, em caso de licitação, ou para a qualificação, em caso de contratação direta, ou, ainda, quaisquer outras obrigações;</w:t>
      </w:r>
    </w:p>
    <w:p>
      <w:pPr>
        <w:pStyle w:val="PargrafodaLista"/>
        <w:spacing w:after="0"/>
        <w:jc w:val="both"/>
        <w:rPr>
          <w:rFonts w:ascii="Times New Roman" w:hAnsi="Times New Roman"/>
          <w:sz w:val="24"/>
          <w:szCs w:val="24"/>
        </w:rPr>
      </w:pPr>
      <w:r>
        <w:rPr>
          <w:rFonts w:ascii="Times New Roman" w:hAnsi="Times New Roman"/>
          <w:sz w:val="24"/>
          <w:szCs w:val="24"/>
        </w:rPr>
        <w:t>VIII – deixar de regularizar, no prazo definido pela administração, os documentos exigidos pela legislação para fins de liquidação e pagamento da despesa;</w:t>
      </w:r>
    </w:p>
    <w:p>
      <w:pPr>
        <w:pStyle w:val="PargrafodaLista"/>
        <w:spacing w:after="0"/>
        <w:jc w:val="both"/>
        <w:rPr>
          <w:rFonts w:ascii="Times New Roman" w:hAnsi="Times New Roman"/>
          <w:sz w:val="24"/>
          <w:szCs w:val="24"/>
        </w:rPr>
      </w:pPr>
      <w:r>
        <w:rPr>
          <w:rFonts w:ascii="Times New Roman" w:hAnsi="Times New Roman"/>
          <w:sz w:val="24"/>
          <w:szCs w:val="24"/>
        </w:rPr>
        <w:t>IX – manter funcionário sem qualificação para a execução do objeto;</w:t>
      </w:r>
    </w:p>
    <w:p>
      <w:pPr>
        <w:pStyle w:val="PargrafodaLista"/>
        <w:spacing w:after="0"/>
        <w:jc w:val="both"/>
        <w:rPr>
          <w:rFonts w:ascii="Times New Roman" w:hAnsi="Times New Roman"/>
          <w:sz w:val="24"/>
          <w:szCs w:val="24"/>
        </w:rPr>
      </w:pPr>
      <w:r>
        <w:rPr>
          <w:rFonts w:ascii="Times New Roman" w:hAnsi="Times New Roman"/>
          <w:sz w:val="24"/>
          <w:szCs w:val="24"/>
        </w:rPr>
        <w:t>X – utilizar as dependências do Contratante para fins diversos do objeto do contrato</w:t>
      </w:r>
    </w:p>
    <w:p>
      <w:pPr>
        <w:pStyle w:val="PargrafodaLista"/>
        <w:spacing w:after="0"/>
        <w:jc w:val="both"/>
        <w:rPr>
          <w:rFonts w:ascii="Times New Roman" w:hAnsi="Times New Roman"/>
          <w:sz w:val="24"/>
          <w:szCs w:val="24"/>
        </w:rPr>
      </w:pPr>
      <w:r>
        <w:rPr>
          <w:rFonts w:ascii="Times New Roman" w:hAnsi="Times New Roman"/>
          <w:sz w:val="24"/>
          <w:szCs w:val="24"/>
        </w:rPr>
        <w:t>XI – deixar de substituir empregado cujo comportamento for incompatível com o interesse público, em especial quando solicitado pela administração;</w:t>
      </w:r>
    </w:p>
    <w:p>
      <w:pPr>
        <w:pStyle w:val="PargrafodaLista"/>
        <w:spacing w:after="0"/>
        <w:jc w:val="both"/>
        <w:rPr>
          <w:rFonts w:ascii="Times New Roman" w:hAnsi="Times New Roman"/>
          <w:sz w:val="24"/>
          <w:szCs w:val="24"/>
        </w:rPr>
      </w:pPr>
      <w:r>
        <w:rPr>
          <w:rFonts w:ascii="Times New Roman" w:hAnsi="Times New Roman"/>
          <w:sz w:val="24"/>
          <w:szCs w:val="24"/>
        </w:rPr>
        <w:t>XII – deixar de efetuar o pagamento de salários, vale-transporte, vale-refeição, seguros, encargos fiscais e sociais, bem como deixar de arcar com quaisquer outras despesas relacionadas à execução do contrato nas datas avençadas;</w:t>
      </w:r>
    </w:p>
    <w:p>
      <w:pPr>
        <w:pStyle w:val="PargrafodaLista"/>
        <w:spacing w:after="0"/>
        <w:jc w:val="both"/>
        <w:rPr>
          <w:rFonts w:ascii="Times New Roman" w:hAnsi="Times New Roman"/>
          <w:sz w:val="24"/>
          <w:szCs w:val="24"/>
        </w:rPr>
      </w:pPr>
      <w:r>
        <w:rPr>
          <w:rFonts w:ascii="Times New Roman" w:hAnsi="Times New Roman"/>
          <w:sz w:val="24"/>
          <w:szCs w:val="24"/>
        </w:rPr>
        <w:t>XIII – deixar de apresentar, quando solicitado, documentação fiscal, trabalhista e previdenciária regularizada;</w:t>
      </w:r>
    </w:p>
    <w:p>
      <w:pPr>
        <w:pStyle w:val="PargrafodaLista"/>
        <w:spacing w:after="0"/>
        <w:jc w:val="both"/>
        <w:rPr>
          <w:rFonts w:ascii="Times New Roman" w:hAnsi="Times New Roman"/>
          <w:sz w:val="24"/>
          <w:szCs w:val="24"/>
        </w:rPr>
      </w:pPr>
      <w:r>
        <w:rPr>
          <w:rFonts w:ascii="Times New Roman" w:hAnsi="Times New Roman"/>
          <w:sz w:val="24"/>
          <w:szCs w:val="24"/>
        </w:rPr>
        <w:t>XIV – deixar de regularizar os documentos fiscais no prazo concedido na hipótese de a Contratada enquadrar-se como Microempresa, Empresa de Pequeno Porte ou equiparados, nos termos da Lei Complementar Federal nº 123, de 14 de dezembro de 2006;</w:t>
      </w:r>
    </w:p>
    <w:p>
      <w:pPr>
        <w:pStyle w:val="PargrafodaLista"/>
        <w:spacing w:after="0"/>
        <w:jc w:val="both"/>
        <w:rPr>
          <w:rFonts w:ascii="Times New Roman" w:hAnsi="Times New Roman"/>
          <w:sz w:val="24"/>
          <w:szCs w:val="24"/>
        </w:rPr>
      </w:pPr>
      <w:r>
        <w:rPr>
          <w:rFonts w:ascii="Times New Roman" w:hAnsi="Times New Roman"/>
          <w:sz w:val="24"/>
          <w:szCs w:val="24"/>
        </w:rPr>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pPr>
        <w:pStyle w:val="PargrafodaLista"/>
        <w:suppressAutoHyphens/>
        <w:spacing w:after="0"/>
        <w:jc w:val="both"/>
        <w:rPr>
          <w:rFonts w:ascii="Times New Roman" w:eastAsia="Arial" w:hAnsi="Times New Roman"/>
          <w:sz w:val="24"/>
          <w:szCs w:val="24"/>
        </w:rPr>
      </w:pPr>
      <w:r>
        <w:rPr>
          <w:rFonts w:ascii="Times New Roman" w:hAnsi="Times New Roman"/>
          <w:sz w:val="24"/>
          <w:szCs w:val="24"/>
        </w:rPr>
        <w:t>XVI – subcontratar o objeto ou a execução de serviços em percentual superior ao permitido no contrato, ou de forma que configure inexistência de condições reais de prestação do serviço ou fornecimento do bem.</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71" w:anchor="art156§9" w:history="1">
        <w:r>
          <w:rPr>
            <w:rStyle w:val="Hyperlink"/>
            <w:rFonts w:ascii="Times New Roman" w:hAnsi="Times New Roman" w:cs="Times New Roman"/>
            <w:sz w:val="24"/>
            <w:szCs w:val="24"/>
          </w:rPr>
          <w:t>art. 156, §9º,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Todas as sanções previstas neste Contrato poderão ser aplicadas cumulativamente com a multa (</w:t>
      </w:r>
      <w:hyperlink r:id="rId72" w:anchor="art156§7" w:history="1">
        <w:r>
          <w:rPr>
            <w:rStyle w:val="Hyperlink"/>
            <w:rFonts w:ascii="Times New Roman" w:hAnsi="Times New Roman" w:cs="Times New Roman"/>
            <w:sz w:val="24"/>
            <w:szCs w:val="24"/>
          </w:rPr>
          <w:t>art. 156, §7º, da Lei nº 14.133, de 2021</w:t>
        </w:r>
      </w:hyperlink>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Antes da aplicação da multa será facultada a defesa do interessado no prazo de 15 (quinze) dias úteis, contado da data de sua intimação (</w:t>
      </w:r>
      <w:hyperlink r:id="rId73" w:anchor="art157" w:history="1">
        <w:r>
          <w:rPr>
            <w:rStyle w:val="Hyperlink"/>
            <w:rFonts w:ascii="Times New Roman" w:hAnsi="Times New Roman" w:cs="Times New Roman"/>
            <w:sz w:val="24"/>
            <w:szCs w:val="24"/>
          </w:rPr>
          <w:t>art. 157,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4" w:anchor="art156§8" w:history="1">
        <w:r>
          <w:rPr>
            <w:rStyle w:val="Hyperlink"/>
            <w:rFonts w:ascii="Times New Roman" w:hAnsi="Times New Roman" w:cs="Times New Roman"/>
            <w:sz w:val="24"/>
            <w:szCs w:val="24"/>
          </w:rPr>
          <w:t>art. 156, §8º,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Previamente ao encaminhamento à cobrança judicial, a multa poderá ser recolhida administrativamente no prazo máximo de </w:t>
      </w:r>
      <w:r>
        <w:rPr>
          <w:rFonts w:ascii="Times New Roman" w:hAnsi="Times New Roman" w:cs="Times New Roman"/>
          <w:iCs/>
          <w:color w:val="auto"/>
          <w:sz w:val="24"/>
          <w:szCs w:val="24"/>
        </w:rPr>
        <w:t>05 (cinco)</w:t>
      </w:r>
      <w:r>
        <w:rPr>
          <w:rFonts w:ascii="Times New Roman" w:hAnsi="Times New Roman" w:cs="Times New Roman"/>
          <w:i/>
          <w:iCs/>
          <w:color w:val="FF0000"/>
          <w:sz w:val="24"/>
          <w:szCs w:val="24"/>
        </w:rPr>
        <w:t xml:space="preserve"> </w:t>
      </w:r>
      <w:r>
        <w:rPr>
          <w:rFonts w:ascii="Times New Roman" w:hAnsi="Times New Roman" w:cs="Times New Roman"/>
          <w:sz w:val="24"/>
          <w:szCs w:val="24"/>
        </w:rPr>
        <w:t>dias úteis, a contar da data do recebimento da comunicação enviada pela autoridade competente.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Pr>
          <w:rFonts w:ascii="Times New Roman" w:hAnsi="Times New Roman" w:cs="Times New Roman"/>
          <w:b/>
          <w:bCs/>
          <w:sz w:val="24"/>
          <w:szCs w:val="24"/>
        </w:rPr>
        <w:t xml:space="preserve">caput </w:t>
      </w:r>
      <w:r>
        <w:rPr>
          <w:rFonts w:ascii="Times New Roman" w:hAnsi="Times New Roman" w:cs="Times New Roman"/>
          <w:sz w:val="24"/>
          <w:szCs w:val="24"/>
        </w:rPr>
        <w:t xml:space="preserve">e </w:t>
      </w:r>
      <w:r>
        <w:rPr>
          <w:rFonts w:ascii="Times New Roman" w:hAnsi="Times New Roman" w:cs="Times New Roman"/>
          <w:sz w:val="24"/>
          <w:szCs w:val="24"/>
        </w:rPr>
        <w:lastRenderedPageBreak/>
        <w:t xml:space="preserve">parágrafos do </w:t>
      </w:r>
      <w:hyperlink r:id="rId75" w:anchor="art158" w:history="1">
        <w:r>
          <w:rPr>
            <w:rStyle w:val="Hyperlink"/>
            <w:rFonts w:ascii="Times New Roman" w:hAnsi="Times New Roman" w:cs="Times New Roman"/>
            <w:sz w:val="24"/>
            <w:szCs w:val="24"/>
          </w:rPr>
          <w:t>art. 158 da Lei nº 14.133, de 2021</w:t>
        </w:r>
      </w:hyperlink>
      <w:r>
        <w:rPr>
          <w:rFonts w:ascii="Times New Roman" w:hAnsi="Times New Roman" w:cs="Times New Roman"/>
          <w:sz w:val="24"/>
          <w:szCs w:val="24"/>
        </w:rPr>
        <w:t>, para as penalidades de impedimento de licitar e contratar e de declaração de inidoneidade para licitar ou contratar.</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Na aplicação das sanções serão considerados (</w:t>
      </w:r>
      <w:hyperlink r:id="rId76" w:anchor="art156§1" w:history="1">
        <w:r>
          <w:rPr>
            <w:rStyle w:val="Hyperlink"/>
            <w:rFonts w:ascii="Times New Roman" w:hAnsi="Times New Roman" w:cs="Times New Roman"/>
            <w:sz w:val="24"/>
            <w:szCs w:val="24"/>
          </w:rPr>
          <w:t>art. 156, §1º, da Lei nº 14.133, de 2021</w:t>
        </w:r>
      </w:hyperlink>
      <w:r>
        <w:rPr>
          <w:rFonts w:ascii="Times New Roman" w:hAnsi="Times New Roman" w:cs="Times New Roman"/>
          <w:sz w:val="24"/>
          <w:szCs w:val="24"/>
        </w:rPr>
        <w:t>):</w:t>
      </w:r>
    </w:p>
    <w:p>
      <w:pPr>
        <w:numPr>
          <w:ilvl w:val="0"/>
          <w:numId w:val="46"/>
        </w:numPr>
        <w:spacing w:line="276" w:lineRule="auto"/>
        <w:contextualSpacing/>
        <w:jc w:val="both"/>
        <w:rPr>
          <w:rFonts w:eastAsia="Arial"/>
          <w:sz w:val="24"/>
          <w:szCs w:val="24"/>
        </w:rPr>
      </w:pPr>
      <w:r>
        <w:rPr>
          <w:rFonts w:eastAsia="Arial"/>
          <w:sz w:val="24"/>
          <w:szCs w:val="24"/>
        </w:rPr>
        <w:t>a natureza e a gravidade da infração cometida;</w:t>
      </w:r>
    </w:p>
    <w:p>
      <w:pPr>
        <w:numPr>
          <w:ilvl w:val="0"/>
          <w:numId w:val="46"/>
        </w:numPr>
        <w:spacing w:line="276" w:lineRule="auto"/>
        <w:ind w:left="284" w:firstLine="0"/>
        <w:contextualSpacing/>
        <w:jc w:val="both"/>
        <w:rPr>
          <w:rFonts w:eastAsia="Arial"/>
          <w:sz w:val="24"/>
          <w:szCs w:val="24"/>
        </w:rPr>
      </w:pPr>
      <w:r>
        <w:rPr>
          <w:rFonts w:eastAsia="Arial"/>
          <w:sz w:val="24"/>
          <w:szCs w:val="24"/>
        </w:rPr>
        <w:t>as peculiaridades do caso concreto;</w:t>
      </w:r>
    </w:p>
    <w:p>
      <w:pPr>
        <w:numPr>
          <w:ilvl w:val="0"/>
          <w:numId w:val="46"/>
        </w:numPr>
        <w:spacing w:line="276" w:lineRule="auto"/>
        <w:ind w:left="284" w:firstLine="0"/>
        <w:contextualSpacing/>
        <w:jc w:val="both"/>
        <w:rPr>
          <w:rFonts w:eastAsia="Arial"/>
          <w:sz w:val="24"/>
          <w:szCs w:val="24"/>
        </w:rPr>
      </w:pPr>
      <w:r>
        <w:rPr>
          <w:rFonts w:eastAsia="Arial"/>
          <w:sz w:val="24"/>
          <w:szCs w:val="24"/>
        </w:rPr>
        <w:t>as circunstâncias agravantes ou atenuantes;</w:t>
      </w:r>
    </w:p>
    <w:p>
      <w:pPr>
        <w:numPr>
          <w:ilvl w:val="0"/>
          <w:numId w:val="46"/>
        </w:numPr>
        <w:spacing w:line="276" w:lineRule="auto"/>
        <w:ind w:left="284" w:firstLine="0"/>
        <w:contextualSpacing/>
        <w:jc w:val="both"/>
        <w:rPr>
          <w:rFonts w:eastAsia="Arial"/>
          <w:sz w:val="24"/>
          <w:szCs w:val="24"/>
        </w:rPr>
      </w:pPr>
      <w:r>
        <w:rPr>
          <w:rFonts w:eastAsia="Arial"/>
          <w:sz w:val="24"/>
          <w:szCs w:val="24"/>
        </w:rPr>
        <w:t>os danos que dela provierem para o Contratante;</w:t>
      </w:r>
    </w:p>
    <w:p>
      <w:pPr>
        <w:numPr>
          <w:ilvl w:val="0"/>
          <w:numId w:val="46"/>
        </w:numPr>
        <w:spacing w:line="276" w:lineRule="auto"/>
        <w:ind w:left="284" w:firstLine="0"/>
        <w:contextualSpacing/>
        <w:jc w:val="both"/>
        <w:rPr>
          <w:rFonts w:eastAsia="Arial"/>
          <w:sz w:val="24"/>
          <w:szCs w:val="24"/>
        </w:rPr>
      </w:pPr>
      <w:r>
        <w:rPr>
          <w:rFonts w:eastAsia="Arial"/>
          <w:sz w:val="24"/>
          <w:szCs w:val="24"/>
        </w:rPr>
        <w:t>a implantação ou o aperfeiçoamento de programa de integridade, conforme normas e orientações dos órgãos de controle.</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Os atos previstos como infrações administrativas na </w:t>
      </w:r>
      <w:hyperlink r:id="rId77"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xml:space="preserve">, ou em outras leis de licitações e contratos da Administração Pública que também sejam tipificados como atos lesivos </w:t>
      </w:r>
      <w:hyperlink r:id="rId78" w:history="1">
        <w:r>
          <w:rPr>
            <w:rStyle w:val="Hyperlink"/>
            <w:rFonts w:ascii="Times New Roman" w:hAnsi="Times New Roman" w:cs="Times New Roman"/>
            <w:sz w:val="24"/>
            <w:szCs w:val="24"/>
          </w:rPr>
          <w:t>na Lei nº 12.846, de 2013</w:t>
        </w:r>
      </w:hyperlink>
      <w:r>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79" w:anchor="art159" w:history="1">
        <w:r>
          <w:rPr>
            <w:rStyle w:val="Hyperlink"/>
            <w:rFonts w:ascii="Times New Roman" w:hAnsi="Times New Roman" w:cs="Times New Roman"/>
            <w:sz w:val="24"/>
            <w:szCs w:val="24"/>
          </w:rPr>
          <w:t>Lei (art. 159</w:t>
        </w:r>
      </w:hyperlink>
      <w:r>
        <w:rPr>
          <w:rFonts w:ascii="Times New Roman" w:hAnsi="Times New Roman" w:cs="Times New Roman"/>
          <w:sz w:val="24"/>
          <w:szCs w:val="24"/>
        </w:rPr>
        <w:t>).</w:t>
      </w:r>
    </w:p>
    <w:p>
      <w:pPr>
        <w:pStyle w:val="Nivel2"/>
        <w:spacing w:before="0" w:after="0"/>
        <w:rPr>
          <w:rFonts w:ascii="Times New Roman" w:hAnsi="Times New Roman" w:cs="Times New Roman"/>
          <w:i/>
          <w:iCs/>
          <w:sz w:val="24"/>
          <w:szCs w:val="24"/>
        </w:rPr>
      </w:pPr>
      <w:r>
        <w:rPr>
          <w:rFonts w:ascii="Times New Roman" w:hAnsi="Times New Roman"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0" w:anchor="art160" w:history="1">
        <w:r>
          <w:rPr>
            <w:rStyle w:val="Hyperlink"/>
            <w:rFonts w:ascii="Times New Roman" w:hAnsi="Times New Roman" w:cs="Times New Roman"/>
            <w:sz w:val="24"/>
            <w:szCs w:val="24"/>
          </w:rPr>
          <w:t>art. 160,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i/>
          <w:iCs/>
          <w:sz w:val="24"/>
          <w:szCs w:val="24"/>
        </w:rPr>
      </w:pPr>
      <w:r>
        <w:rPr>
          <w:rFonts w:ascii="Times New Roman" w:hAnsi="Times New Roman" w:cs="Times New Roman"/>
          <w:sz w:val="24"/>
          <w:szCs w:val="24"/>
        </w:rPr>
        <w:t xml:space="preserve"> O Contratante deverá, no prazo máximo </w:t>
      </w:r>
      <w:r>
        <w:rPr>
          <w:rFonts w:ascii="Times New Roman" w:hAnsi="Times New Roman" w:cs="Times New Roman"/>
          <w:color w:val="auto"/>
          <w:sz w:val="24"/>
          <w:szCs w:val="24"/>
        </w:rPr>
        <w:t>de</w:t>
      </w:r>
      <w:r>
        <w:rPr>
          <w:rFonts w:ascii="Times New Roman" w:hAnsi="Times New Roman" w:cs="Times New Roman"/>
          <w:color w:val="00B050"/>
          <w:sz w:val="24"/>
          <w:szCs w:val="24"/>
        </w:rPr>
        <w:t xml:space="preserve"> </w:t>
      </w:r>
      <w:r>
        <w:rPr>
          <w:rFonts w:ascii="Times New Roman" w:hAnsi="Times New Roman" w:cs="Times New Roman"/>
          <w:sz w:val="24"/>
          <w:szCs w:val="24"/>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1" w:anchor="art161">
        <w:r>
          <w:rPr>
            <w:rStyle w:val="Hyperlink"/>
            <w:rFonts w:ascii="Times New Roman" w:hAnsi="Times New Roman" w:cs="Times New Roman"/>
            <w:sz w:val="24"/>
            <w:szCs w:val="24"/>
          </w:rPr>
          <w:t>Art. 161,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i/>
          <w:iCs/>
          <w:sz w:val="24"/>
          <w:szCs w:val="24"/>
        </w:rPr>
      </w:pPr>
      <w:r>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82" w:anchor="art163" w:history="1">
        <w:r>
          <w:rPr>
            <w:rStyle w:val="Hyperlink"/>
            <w:rFonts w:ascii="Times New Roman" w:hAnsi="Times New Roman" w:cs="Times New Roman"/>
            <w:sz w:val="24"/>
            <w:szCs w:val="24"/>
          </w:rPr>
          <w:t>art. 163 da Lei nº 14.133/21.</w:t>
        </w:r>
      </w:hyperlink>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3" w:history="1">
        <w:r>
          <w:rPr>
            <w:rStyle w:val="Hyperlink"/>
            <w:rFonts w:ascii="Times New Roman" w:hAnsi="Times New Roman" w:cs="Times New Roman"/>
            <w:sz w:val="24"/>
            <w:szCs w:val="24"/>
          </w:rPr>
          <w:t>Instrução Normativa SEGES/ME nº 26, de 13 de abril de 2022</w:t>
        </w:r>
      </w:hyperlink>
      <w:r>
        <w:rPr>
          <w:rFonts w:ascii="Times New Roman" w:hAnsi="Times New Roman" w:cs="Times New Roman"/>
          <w:sz w:val="24"/>
          <w:szCs w:val="24"/>
        </w:rPr>
        <w:t>.</w:t>
      </w:r>
    </w:p>
    <w:p>
      <w:pPr>
        <w:pStyle w:val="Nivel2"/>
        <w:numPr>
          <w:ilvl w:val="0"/>
          <w:numId w:val="0"/>
        </w:numPr>
        <w:spacing w:before="0" w:after="0"/>
        <w:rPr>
          <w:rFonts w:ascii="Times New Roman" w:hAnsi="Times New Roman" w:cs="Times New Roman"/>
          <w:sz w:val="24"/>
          <w:szCs w:val="24"/>
        </w:rPr>
      </w:pPr>
      <w:r>
        <w:rPr>
          <w:rFonts w:ascii="Times New Roman" w:hAnsi="Times New Roman" w:cs="Times New Roman"/>
          <w:sz w:val="24"/>
          <w:szCs w:val="24"/>
        </w:rPr>
        <w:t xml:space="preserve"> </w:t>
      </w: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SEGUNDA – DA EXTINÇÃO CONTRATUAL</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contrato será extinto quando vencido o prazo nele estipulado, independentemente de terem sido cumpridas ou não as obrigações de ambas as partes contraentes.</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84" w:anchor="art137">
        <w:r>
          <w:rPr>
            <w:rStyle w:val="Hyperlink"/>
            <w:rFonts w:ascii="Times New Roman" w:hAnsi="Times New Roman" w:cs="Times New Roman"/>
            <w:sz w:val="24"/>
            <w:szCs w:val="24"/>
          </w:rPr>
          <w:t>artigo 137 da Lei nº 14.133/21</w:t>
        </w:r>
      </w:hyperlink>
      <w:r>
        <w:rPr>
          <w:rFonts w:ascii="Times New Roman" w:hAnsi="Times New Roman" w:cs="Times New Roman"/>
          <w:sz w:val="24"/>
          <w:szCs w:val="24"/>
        </w:rPr>
        <w:t xml:space="preserve">, bem como amigavelmente, </w:t>
      </w:r>
      <w:r>
        <w:rPr>
          <w:rFonts w:ascii="Times New Roman" w:hAnsi="Times New Roman" w:cs="Times New Roman"/>
          <w:color w:val="000000" w:themeColor="text1"/>
          <w:sz w:val="24"/>
          <w:szCs w:val="24"/>
        </w:rPr>
        <w:t>assegurados o contraditório e a ampla defesa</w:t>
      </w:r>
      <w:r>
        <w:rPr>
          <w:rFonts w:ascii="Times New Roman" w:hAnsi="Times New Roman" w:cs="Times New Roman"/>
          <w:sz w:val="24"/>
          <w:szCs w:val="24"/>
        </w:rPr>
        <w:t>.</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 xml:space="preserve">Nesta hipótese, aplicam-se também os </w:t>
      </w:r>
      <w:hyperlink r:id="rId85" w:anchor="art138" w:history="1">
        <w:r>
          <w:rPr>
            <w:rStyle w:val="Hyperlink"/>
            <w:rFonts w:ascii="Times New Roman" w:hAnsi="Times New Roman" w:cs="Times New Roman"/>
            <w:sz w:val="24"/>
            <w:szCs w:val="24"/>
          </w:rPr>
          <w:t>artigos 138 e 139</w:t>
        </w:r>
      </w:hyperlink>
      <w:r>
        <w:rPr>
          <w:rFonts w:ascii="Times New Roman" w:hAnsi="Times New Roman" w:cs="Times New Roman"/>
          <w:sz w:val="24"/>
          <w:szCs w:val="24"/>
        </w:rPr>
        <w:t xml:space="preserve"> da mesma Lei.</w:t>
      </w:r>
    </w:p>
    <w:p>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p>
    <w:p>
      <w:pPr>
        <w:pStyle w:val="Nivel4"/>
        <w:spacing w:before="0" w:after="0"/>
        <w:ind w:left="567"/>
        <w:rPr>
          <w:rFonts w:ascii="Times New Roman" w:hAnsi="Times New Roman" w:cs="Times New Roman"/>
          <w:sz w:val="24"/>
          <w:szCs w:val="24"/>
        </w:rPr>
      </w:pPr>
      <w:r>
        <w:rPr>
          <w:rFonts w:ascii="Times New Roman" w:hAnsi="Times New Roman" w:cs="Times New Roman"/>
          <w:color w:val="000000" w:themeColor="text1"/>
          <w:sz w:val="24"/>
          <w:szCs w:val="24"/>
        </w:rPr>
        <w:t xml:space="preserve">Se a operação </w:t>
      </w:r>
      <w:r>
        <w:rPr>
          <w:rFonts w:ascii="Times New Roman" w:hAnsi="Times New Roman" w:cs="Times New Roman"/>
          <w:sz w:val="24"/>
          <w:szCs w:val="24"/>
        </w:rPr>
        <w:t>implicar mudança da pessoa jurídica contratada, deverá ser formalizado termo aditivo para alteração subjetiva.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termo de extinção, sempre que possível, será precedido:</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Balanço dos eventos contratuais já cumpridos ou parcialmente cumpridos;</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Relação dos pagamentos já efetuados e ainda devidos;</w:t>
      </w:r>
    </w:p>
    <w:p>
      <w:pPr>
        <w:pStyle w:val="Nivel4"/>
        <w:spacing w:before="0" w:after="0"/>
        <w:ind w:left="567"/>
        <w:rPr>
          <w:rFonts w:ascii="Times New Roman" w:hAnsi="Times New Roman" w:cs="Times New Roman"/>
          <w:sz w:val="24"/>
          <w:szCs w:val="24"/>
        </w:rPr>
      </w:pPr>
      <w:r>
        <w:rPr>
          <w:rFonts w:ascii="Times New Roman" w:hAnsi="Times New Roman" w:cs="Times New Roman"/>
          <w:sz w:val="24"/>
          <w:szCs w:val="24"/>
        </w:rPr>
        <w:t>Indenizações e multas.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86" w:anchor="art131">
        <w:r>
          <w:rPr>
            <w:rStyle w:val="Hyperlink"/>
            <w:rFonts w:ascii="Times New Roman" w:hAnsi="Times New Roman" w:cs="Times New Roman"/>
            <w:sz w:val="24"/>
            <w:szCs w:val="24"/>
          </w:rPr>
          <w:t xml:space="preserve">art. 131, </w:t>
        </w:r>
        <w:r>
          <w:rPr>
            <w:rStyle w:val="Hyperlink"/>
            <w:rFonts w:ascii="Times New Roman" w:hAnsi="Times New Roman" w:cs="Times New Roman"/>
            <w:i/>
            <w:iCs/>
            <w:sz w:val="24"/>
            <w:szCs w:val="24"/>
          </w:rPr>
          <w:t xml:space="preserve">caput, </w:t>
        </w:r>
        <w:r>
          <w:rPr>
            <w:rStyle w:val="Hyperlink"/>
            <w:rFonts w:ascii="Times New Roman" w:hAnsi="Times New Roman" w:cs="Times New Roman"/>
            <w:sz w:val="24"/>
            <w:szCs w:val="24"/>
          </w:rPr>
          <w:t>da Lei n.º 14.133, de 2021).</w:t>
        </w:r>
      </w:hyperlink>
      <w:r>
        <w:rPr>
          <w:rFonts w:ascii="Times New Roman" w:hAnsi="Times New Roman" w:cs="Times New Roman"/>
          <w:sz w:val="24"/>
          <w:szCs w:val="24"/>
        </w:rPr>
        <w:t xml:space="preserve"> </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TERCEIRA – DOTAÇÃO ORÇAMENTÁRIA</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pPr>
        <w:numPr>
          <w:ilvl w:val="1"/>
          <w:numId w:val="47"/>
        </w:numPr>
        <w:tabs>
          <w:tab w:val="clear" w:pos="0"/>
          <w:tab w:val="num" w:pos="284"/>
        </w:tabs>
        <w:spacing w:line="276" w:lineRule="auto"/>
        <w:ind w:left="142" w:firstLine="0"/>
        <w:jc w:val="both"/>
        <w:rPr>
          <w:rFonts w:eastAsia="Arial"/>
          <w:sz w:val="24"/>
          <w:szCs w:val="24"/>
        </w:rPr>
      </w:pPr>
      <w:r>
        <w:rPr>
          <w:rFonts w:eastAsia="Arial"/>
          <w:sz w:val="24"/>
          <w:szCs w:val="24"/>
        </w:rPr>
        <w:t xml:space="preserve">Gestão/Unidade: </w:t>
      </w:r>
    </w:p>
    <w:p>
      <w:pPr>
        <w:numPr>
          <w:ilvl w:val="1"/>
          <w:numId w:val="47"/>
        </w:numPr>
        <w:tabs>
          <w:tab w:val="clear" w:pos="0"/>
          <w:tab w:val="num" w:pos="142"/>
        </w:tabs>
        <w:spacing w:line="276" w:lineRule="auto"/>
        <w:ind w:left="142" w:firstLine="0"/>
        <w:jc w:val="both"/>
        <w:rPr>
          <w:rFonts w:eastAsia="Arial"/>
          <w:sz w:val="24"/>
          <w:szCs w:val="24"/>
        </w:rPr>
      </w:pPr>
      <w:r>
        <w:rPr>
          <w:rFonts w:eastAsia="Arial"/>
          <w:sz w:val="24"/>
          <w:szCs w:val="24"/>
        </w:rPr>
        <w:t xml:space="preserve">Programa de Trabalho: </w:t>
      </w:r>
    </w:p>
    <w:p>
      <w:pPr>
        <w:numPr>
          <w:ilvl w:val="1"/>
          <w:numId w:val="47"/>
        </w:numPr>
        <w:tabs>
          <w:tab w:val="clear" w:pos="0"/>
          <w:tab w:val="num" w:pos="142"/>
        </w:tabs>
        <w:spacing w:line="276" w:lineRule="auto"/>
        <w:ind w:left="142" w:firstLine="0"/>
        <w:jc w:val="both"/>
        <w:rPr>
          <w:rFonts w:eastAsia="Arial"/>
          <w:sz w:val="24"/>
          <w:szCs w:val="24"/>
        </w:rPr>
      </w:pPr>
      <w:r>
        <w:rPr>
          <w:rFonts w:eastAsia="Arial"/>
          <w:sz w:val="24"/>
          <w:szCs w:val="24"/>
        </w:rPr>
        <w:t>Elemento de Despesa:</w:t>
      </w:r>
    </w:p>
    <w:p>
      <w:pPr>
        <w:numPr>
          <w:ilvl w:val="1"/>
          <w:numId w:val="47"/>
        </w:numPr>
        <w:tabs>
          <w:tab w:val="clear" w:pos="0"/>
          <w:tab w:val="num" w:pos="142"/>
        </w:tabs>
        <w:spacing w:line="276" w:lineRule="auto"/>
        <w:ind w:left="142" w:firstLine="0"/>
        <w:jc w:val="both"/>
        <w:rPr>
          <w:rFonts w:eastAsia="Arial"/>
          <w:sz w:val="24"/>
          <w:szCs w:val="24"/>
        </w:rPr>
      </w:pPr>
      <w:r>
        <w:rPr>
          <w:rFonts w:eastAsia="Arial"/>
          <w:sz w:val="24"/>
          <w:szCs w:val="24"/>
        </w:rPr>
        <w:t xml:space="preserve">Fonte de Recursos: </w:t>
      </w:r>
    </w:p>
    <w:p>
      <w:pPr>
        <w:pStyle w:val="Nvel2-Red"/>
        <w:numPr>
          <w:ilvl w:val="1"/>
          <w:numId w:val="2"/>
        </w:numPr>
        <w:spacing w:before="0" w:after="0"/>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pPr>
        <w:pStyle w:val="Nvel2-Red"/>
        <w:numPr>
          <w:ilvl w:val="0"/>
          <w:numId w:val="0"/>
        </w:numPr>
        <w:spacing w:before="0" w:after="0"/>
        <w:rPr>
          <w:rFonts w:ascii="Times New Roman" w:hAnsi="Times New Roman" w:cs="Times New Roman"/>
          <w:i w:val="0"/>
          <w:color w:val="auto"/>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QUARTA – ALTERAÇÕES</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Eventuais alterações contratuais reger-se-ão pela disciplina dos </w:t>
      </w:r>
      <w:hyperlink r:id="rId87" w:anchor="art124">
        <w:r>
          <w:rPr>
            <w:rStyle w:val="Hyperlink"/>
            <w:rFonts w:ascii="Times New Roman" w:hAnsi="Times New Roman" w:cs="Times New Roman"/>
            <w:sz w:val="24"/>
            <w:szCs w:val="24"/>
          </w:rPr>
          <w:t>arts. 124 e seguintes da Lei nº 14.133, de 2021</w:t>
        </w:r>
      </w:hyperlink>
      <w:r>
        <w:rPr>
          <w:rFonts w:ascii="Times New Roman" w:hAnsi="Times New Roman" w:cs="Times New Roman"/>
          <w:sz w:val="24"/>
          <w:szCs w:val="24"/>
        </w:rPr>
        <w:t>.</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lastRenderedPageBreak/>
        <w:t>O contratado é obrigado a aceitar, nas mesmas condições contratuais, os acréscimos ou supressões que se fizerem necessários, até o limite de 25% (vinte e cinco por cento) do valor inicial atualizado do contrato.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88" w:anchor="art136">
        <w:r>
          <w:rPr>
            <w:rStyle w:val="Hyperlink"/>
            <w:rFonts w:ascii="Times New Roman" w:hAnsi="Times New Roman" w:cs="Times New Roman"/>
            <w:sz w:val="24"/>
            <w:szCs w:val="24"/>
          </w:rPr>
          <w:t>art. 136 da Lei nº 14.133, de 2021</w:t>
        </w:r>
      </w:hyperlink>
      <w:r>
        <w:rPr>
          <w:rFonts w:ascii="Times New Roman" w:hAnsi="Times New Roman" w:cs="Times New Roman"/>
          <w:sz w:val="24"/>
          <w:szCs w:val="24"/>
        </w:rPr>
        <w:t>.</w:t>
      </w:r>
    </w:p>
    <w:p>
      <w:pPr>
        <w:pStyle w:val="Nivel2"/>
        <w:numPr>
          <w:ilvl w:val="0"/>
          <w:numId w:val="0"/>
        </w:numPr>
        <w:spacing w:before="0" w:after="0"/>
        <w:rPr>
          <w:rFonts w:ascii="Times New Roman" w:hAnsi="Times New Roman" w:cs="Times New Roman"/>
          <w:sz w:val="24"/>
          <w:szCs w:val="24"/>
        </w:rPr>
      </w:pP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QUINTA – PUBLICAÇÃO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Incumbirá ao contratante divulgar o presente instrumento no Portal Nacional de Contratações Públicas (PNCP), na forma prevista no </w:t>
      </w:r>
      <w:hyperlink r:id="rId89" w:anchor="art94">
        <w:r>
          <w:rPr>
            <w:rStyle w:val="Hyperlink"/>
            <w:rFonts w:ascii="Times New Roman" w:hAnsi="Times New Roman" w:cs="Times New Roman"/>
            <w:sz w:val="24"/>
            <w:szCs w:val="24"/>
          </w:rPr>
          <w:t>art. 94 da Lei 14.133, de 2021</w:t>
        </w:r>
      </w:hyperlink>
      <w:r>
        <w:rPr>
          <w:rFonts w:ascii="Times New Roman" w:hAnsi="Times New Roman" w:cs="Times New Roman"/>
          <w:sz w:val="24"/>
          <w:szCs w:val="24"/>
        </w:rPr>
        <w:t xml:space="preserve">, bem como no respectivo sítio oficial na Internet, em atenção ao art. 91, </w:t>
      </w:r>
      <w:r>
        <w:rPr>
          <w:rFonts w:ascii="Times New Roman" w:hAnsi="Times New Roman" w:cs="Times New Roman"/>
          <w:i/>
          <w:iCs/>
          <w:sz w:val="24"/>
          <w:szCs w:val="24"/>
        </w:rPr>
        <w:t>caput,</w:t>
      </w:r>
      <w:r>
        <w:rPr>
          <w:rFonts w:ascii="Times New Roman" w:hAnsi="Times New Roman" w:cs="Times New Roman"/>
          <w:sz w:val="24"/>
          <w:szCs w:val="24"/>
        </w:rPr>
        <w:t xml:space="preserve"> da Lei n.º 14.133, de 2021.</w:t>
      </w:r>
    </w:p>
    <w:p>
      <w:pPr>
        <w:pStyle w:val="Nivel2"/>
        <w:numPr>
          <w:ilvl w:val="0"/>
          <w:numId w:val="0"/>
        </w:numPr>
        <w:spacing w:before="0" w:after="0"/>
        <w:rPr>
          <w:rFonts w:ascii="Times New Roman" w:hAnsi="Times New Roman" w:cs="Times New Roman"/>
          <w:sz w:val="24"/>
          <w:szCs w:val="24"/>
        </w:rPr>
      </w:pPr>
      <w:r>
        <w:rPr>
          <w:rFonts w:ascii="Times New Roman" w:hAnsi="Times New Roman" w:cs="Times New Roman"/>
          <w:sz w:val="24"/>
          <w:szCs w:val="24"/>
        </w:rPr>
        <w:t xml:space="preserve"> </w:t>
      </w:r>
    </w:p>
    <w:p>
      <w:pPr>
        <w:pStyle w:val="Nivel01"/>
        <w:spacing w:before="0" w:line="276" w:lineRule="auto"/>
        <w:ind w:left="0" w:firstLine="0"/>
        <w:rPr>
          <w:rFonts w:ascii="Times New Roman" w:hAnsi="Times New Roman" w:cs="Times New Roman"/>
          <w:color w:val="FFFFFF" w:themeColor="background1"/>
          <w:sz w:val="24"/>
          <w:szCs w:val="24"/>
        </w:rPr>
      </w:pPr>
      <w:r>
        <w:rPr>
          <w:rFonts w:ascii="Times New Roman" w:hAnsi="Times New Roman" w:cs="Times New Roman"/>
          <w:sz w:val="24"/>
          <w:szCs w:val="24"/>
        </w:rPr>
        <w:t>CLÁUSULA DÉCIMA OITAVA– FORO</w:t>
      </w:r>
    </w:p>
    <w:p>
      <w:pPr>
        <w:pStyle w:val="Nivel2"/>
        <w:spacing w:before="0" w:after="0"/>
        <w:rPr>
          <w:rFonts w:ascii="Times New Roman" w:hAnsi="Times New Roman" w:cs="Times New Roman"/>
          <w:sz w:val="24"/>
          <w:szCs w:val="24"/>
        </w:rPr>
      </w:pPr>
      <w:r>
        <w:rPr>
          <w:rFonts w:ascii="Times New Roman" w:hAnsi="Times New Roman" w:cs="Times New Roman"/>
          <w:sz w:val="24"/>
          <w:szCs w:val="24"/>
        </w:rPr>
        <w:t xml:space="preserve">Fica eleito o Foro da Comarca Vinculada de Miraíma-CE para dirimir os litígios que decorrerem da execução deste Termo de Contrato que não puderem ser compostos pela conciliação, conforme </w:t>
      </w:r>
      <w:hyperlink r:id="rId90" w:anchor="art92§1">
        <w:r>
          <w:rPr>
            <w:rStyle w:val="Hyperlink"/>
            <w:rFonts w:ascii="Times New Roman" w:hAnsi="Times New Roman" w:cs="Times New Roman"/>
            <w:sz w:val="24"/>
            <w:szCs w:val="24"/>
          </w:rPr>
          <w:t>art. 92, §1º, da Lei nº 14.133/21.</w:t>
        </w:r>
      </w:hyperlink>
    </w:p>
    <w:p>
      <w:pPr>
        <w:pStyle w:val="Nivel2"/>
        <w:numPr>
          <w:ilvl w:val="0"/>
          <w:numId w:val="0"/>
        </w:numPr>
        <w:spacing w:before="0" w:after="0"/>
        <w:ind w:firstLine="709"/>
        <w:jc w:val="right"/>
        <w:rPr>
          <w:rFonts w:ascii="Times New Roman" w:hAnsi="Times New Roman" w:cs="Times New Roman"/>
          <w:iCs/>
          <w:color w:val="auto"/>
          <w:sz w:val="24"/>
          <w:szCs w:val="24"/>
        </w:rPr>
      </w:pPr>
      <w:r>
        <w:rPr>
          <w:rFonts w:ascii="Times New Roman" w:hAnsi="Times New Roman" w:cs="Times New Roman"/>
          <w:iCs/>
          <w:color w:val="auto"/>
          <w:sz w:val="24"/>
          <w:szCs w:val="24"/>
        </w:rPr>
        <w:t>Miraíma-CE, ___ de ______ de ______</w:t>
      </w:r>
    </w:p>
    <w:p>
      <w:pPr>
        <w:pStyle w:val="Nivel2"/>
        <w:numPr>
          <w:ilvl w:val="0"/>
          <w:numId w:val="0"/>
        </w:numPr>
        <w:spacing w:before="0" w:after="0"/>
        <w:ind w:firstLine="709"/>
        <w:rPr>
          <w:rFonts w:ascii="Times New Roman" w:hAnsi="Times New Roman" w:cs="Times New Roman"/>
          <w:iCs/>
          <w:color w:val="auto"/>
          <w:sz w:val="24"/>
          <w:szCs w:val="24"/>
        </w:rPr>
      </w:pPr>
    </w:p>
    <w:p>
      <w:pPr>
        <w:pStyle w:val="Nivel2"/>
        <w:numPr>
          <w:ilvl w:val="0"/>
          <w:numId w:val="0"/>
        </w:numPr>
        <w:spacing w:before="0" w:after="0"/>
        <w:ind w:firstLine="709"/>
        <w:rPr>
          <w:rFonts w:ascii="Times New Roman" w:hAnsi="Times New Roman" w:cs="Times New Roman"/>
          <w:iCs/>
          <w:color w:val="auto"/>
          <w:sz w:val="24"/>
          <w:szCs w:val="24"/>
        </w:rPr>
      </w:pPr>
    </w:p>
    <w:tbl>
      <w:tblPr>
        <w:tblW w:w="9606" w:type="dxa"/>
        <w:jc w:val="center"/>
        <w:tblLook w:val="04A0" w:firstRow="1" w:lastRow="0" w:firstColumn="1" w:lastColumn="0" w:noHBand="0" w:noVBand="1"/>
      </w:tblPr>
      <w:tblGrid>
        <w:gridCol w:w="4361"/>
        <w:gridCol w:w="5245"/>
      </w:tblGrid>
      <w:tr>
        <w:trPr>
          <w:jc w:val="center"/>
        </w:trPr>
        <w:tc>
          <w:tcPr>
            <w:tcW w:w="4361" w:type="dxa"/>
          </w:tcPr>
          <w:p>
            <w:pPr>
              <w:autoSpaceDE w:val="0"/>
              <w:autoSpaceDN w:val="0"/>
              <w:adjustRightInd w:val="0"/>
              <w:spacing w:line="276" w:lineRule="auto"/>
              <w:jc w:val="center"/>
              <w:rPr>
                <w:iCs/>
                <w:sz w:val="24"/>
                <w:szCs w:val="24"/>
              </w:rPr>
            </w:pPr>
            <w:r>
              <w:rPr>
                <w:bCs/>
                <w:sz w:val="24"/>
                <w:szCs w:val="24"/>
              </w:rPr>
              <w:t xml:space="preserve">Secretário(a) de </w:t>
            </w:r>
            <w:r>
              <w:rPr>
                <w:iCs/>
                <w:sz w:val="24"/>
                <w:szCs w:val="24"/>
              </w:rPr>
              <w:t>_________</w:t>
            </w:r>
          </w:p>
          <w:p>
            <w:pPr>
              <w:pStyle w:val="WW-Corpodetexto3"/>
              <w:autoSpaceDE w:val="0"/>
              <w:spacing w:after="0" w:line="276" w:lineRule="auto"/>
              <w:jc w:val="center"/>
              <w:rPr>
                <w:sz w:val="24"/>
                <w:szCs w:val="24"/>
                <w:lang w:eastAsia="pt-BR"/>
              </w:rPr>
            </w:pPr>
            <w:r>
              <w:rPr>
                <w:sz w:val="24"/>
                <w:szCs w:val="24"/>
                <w:lang w:eastAsia="pt-BR"/>
              </w:rPr>
              <w:t>CONTRATANTE</w:t>
            </w:r>
          </w:p>
          <w:p>
            <w:pPr>
              <w:autoSpaceDE w:val="0"/>
              <w:autoSpaceDN w:val="0"/>
              <w:adjustRightInd w:val="0"/>
              <w:spacing w:line="276" w:lineRule="auto"/>
              <w:jc w:val="center"/>
              <w:rPr>
                <w:spacing w:val="-4"/>
                <w:sz w:val="24"/>
                <w:szCs w:val="24"/>
              </w:rPr>
            </w:pPr>
          </w:p>
        </w:tc>
        <w:tc>
          <w:tcPr>
            <w:tcW w:w="5245" w:type="dxa"/>
          </w:tcPr>
          <w:p>
            <w:pPr>
              <w:spacing w:line="276" w:lineRule="auto"/>
              <w:jc w:val="center"/>
              <w:rPr>
                <w:iCs/>
                <w:sz w:val="24"/>
                <w:szCs w:val="24"/>
              </w:rPr>
            </w:pPr>
            <w:r>
              <w:rPr>
                <w:iCs/>
                <w:sz w:val="24"/>
                <w:szCs w:val="24"/>
              </w:rPr>
              <w:t xml:space="preserve">EMPRESA: </w:t>
            </w:r>
            <w:r>
              <w:rPr>
                <w:sz w:val="24"/>
                <w:szCs w:val="24"/>
              </w:rPr>
              <w:t>______________</w:t>
            </w:r>
          </w:p>
          <w:p>
            <w:pPr>
              <w:spacing w:line="276" w:lineRule="auto"/>
              <w:jc w:val="center"/>
              <w:rPr>
                <w:iCs/>
                <w:sz w:val="24"/>
                <w:szCs w:val="24"/>
              </w:rPr>
            </w:pPr>
            <w:r>
              <w:rPr>
                <w:iCs/>
                <w:sz w:val="24"/>
                <w:szCs w:val="24"/>
              </w:rPr>
              <w:t xml:space="preserve">Sr(a). </w:t>
            </w:r>
            <w:r>
              <w:rPr>
                <w:sz w:val="24"/>
                <w:szCs w:val="24"/>
              </w:rPr>
              <w:t>______________</w:t>
            </w:r>
          </w:p>
          <w:p>
            <w:pPr>
              <w:spacing w:line="276" w:lineRule="auto"/>
              <w:jc w:val="center"/>
              <w:rPr>
                <w:spacing w:val="-4"/>
                <w:sz w:val="24"/>
                <w:szCs w:val="24"/>
              </w:rPr>
            </w:pPr>
            <w:r>
              <w:rPr>
                <w:rFonts w:eastAsia="TimesNewRoman"/>
                <w:sz w:val="24"/>
                <w:szCs w:val="24"/>
              </w:rPr>
              <w:t>CONTRATADA</w:t>
            </w:r>
          </w:p>
        </w:tc>
      </w:tr>
    </w:tbl>
    <w:p>
      <w:pPr>
        <w:spacing w:line="276" w:lineRule="auto"/>
        <w:ind w:firstLine="709"/>
        <w:jc w:val="center"/>
        <w:rPr>
          <w:sz w:val="24"/>
          <w:szCs w:val="24"/>
        </w:rPr>
      </w:pPr>
    </w:p>
    <w:p>
      <w:pPr>
        <w:spacing w:line="276" w:lineRule="auto"/>
        <w:ind w:firstLine="709"/>
        <w:jc w:val="both"/>
        <w:rPr>
          <w:iCs/>
          <w:sz w:val="24"/>
          <w:szCs w:val="24"/>
        </w:rPr>
      </w:pPr>
      <w:r>
        <w:rPr>
          <w:iCs/>
          <w:sz w:val="24"/>
          <w:szCs w:val="24"/>
        </w:rPr>
        <w:t>TESTEMUNHAS:</w:t>
      </w:r>
    </w:p>
    <w:p>
      <w:pPr>
        <w:spacing w:line="276" w:lineRule="auto"/>
        <w:rPr>
          <w:iCs/>
          <w:sz w:val="24"/>
          <w:szCs w:val="24"/>
        </w:rPr>
      </w:pPr>
      <w:r>
        <w:rPr>
          <w:iCs/>
          <w:sz w:val="24"/>
          <w:szCs w:val="24"/>
        </w:rPr>
        <w:t>1. _____________________________________ CPF. _________________________</w:t>
      </w:r>
    </w:p>
    <w:p>
      <w:pPr>
        <w:spacing w:line="276" w:lineRule="auto"/>
        <w:rPr>
          <w:bCs/>
          <w:sz w:val="24"/>
          <w:szCs w:val="24"/>
        </w:rPr>
      </w:pPr>
      <w:r>
        <w:rPr>
          <w:iCs/>
          <w:sz w:val="24"/>
          <w:szCs w:val="24"/>
        </w:rPr>
        <w:t>2. _____________________________________ CPF. _________________________</w:t>
      </w:r>
    </w:p>
    <w:p>
      <w:pPr>
        <w:suppressAutoHyphens w:val="0"/>
        <w:spacing w:line="276" w:lineRule="auto"/>
        <w:jc w:val="both"/>
        <w:rPr>
          <w:sz w:val="24"/>
          <w:szCs w:val="24"/>
        </w:rPr>
      </w:pPr>
    </w:p>
    <w:p>
      <w:pPr>
        <w:suppressAutoHyphens w:val="0"/>
        <w:spacing w:line="276" w:lineRule="auto"/>
        <w:jc w:val="both"/>
        <w:rPr>
          <w:sz w:val="24"/>
          <w:szCs w:val="24"/>
        </w:rPr>
      </w:pPr>
    </w:p>
    <w:p>
      <w:pPr>
        <w:suppressAutoHyphens w:val="0"/>
        <w:spacing w:line="276" w:lineRule="auto"/>
        <w:jc w:val="both"/>
        <w:rPr>
          <w:sz w:val="24"/>
          <w:szCs w:val="24"/>
        </w:rPr>
      </w:pPr>
    </w:p>
    <w:sectPr>
      <w:pgSz w:w="11906" w:h="16838"/>
      <w:pgMar w:top="2354" w:right="1416" w:bottom="1418" w:left="1134" w:header="568" w:footer="3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Segoe UI Symbol"/>
    <w:charset w:val="02"/>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333731763"/>
      <w:docPartObj>
        <w:docPartGallery w:val="Page Numbers (Top of Page)"/>
        <w:docPartUnique/>
      </w:docPartObj>
    </w:sdtPr>
    <w:sdtContent>
      <w:p>
        <w:pPr>
          <w:pStyle w:val="Rodap"/>
          <w:jc w:val="center"/>
          <w:rPr>
            <w:szCs w:val="22"/>
          </w:rPr>
        </w:pPr>
        <w:r>
          <w:rPr>
            <w:noProof/>
            <w:sz w:val="18"/>
            <w:lang w:eastAsia="pt-BR"/>
            <w14:ligatures w14:val="standardContextual"/>
          </w:rPr>
          <w:drawing>
            <wp:anchor distT="0" distB="0" distL="114300" distR="114300" simplePos="0" relativeHeight="251705344"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27" name="Imagem 518755827"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14:ligatures w14:val="standardContextual"/>
          </w:rPr>
          <w:drawing>
            <wp:anchor distT="0" distB="0" distL="114300" distR="114300" simplePos="0" relativeHeight="251708416"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28" name="Imagem 518755828"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14:ligatures w14:val="standardContextual"/>
          </w:rPr>
          <w:drawing>
            <wp:anchor distT="0" distB="0" distL="114300" distR="114300" simplePos="0" relativeHeight="251711488"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29" name="Imagem 518755829"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2"/>
          </w:rPr>
          <w:t>Esplanada da Estação, 433 – Centro – Miraíma – CE</w:t>
        </w:r>
      </w:p>
      <w:p>
        <w:pPr>
          <w:pStyle w:val="Rodap"/>
          <w:jc w:val="center"/>
          <w:rPr>
            <w:szCs w:val="22"/>
          </w:rPr>
        </w:pPr>
        <w:r>
          <w:rPr>
            <w:szCs w:val="22"/>
          </w:rPr>
          <w:t xml:space="preserve">Telefone: 88 36301167 – E-mail: </w:t>
        </w:r>
        <w:hyperlink r:id="rId3" w:history="1">
          <w:r>
            <w:rPr>
              <w:rStyle w:val="Hyperlink"/>
              <w:szCs w:val="22"/>
            </w:rPr>
            <w:t>gabinete@miraima.ce.gov.br</w:t>
          </w:r>
        </w:hyperlink>
        <w:r>
          <w:rPr>
            <w:szCs w:val="22"/>
          </w:rPr>
          <w:t xml:space="preserve"> </w:t>
        </w:r>
      </w:p>
      <w:p>
        <w:pPr>
          <w:pStyle w:val="Rodap"/>
          <w:jc w:val="center"/>
          <w:rPr>
            <w:b/>
            <w:bCs/>
            <w:sz w:val="22"/>
            <w:szCs w:val="24"/>
          </w:rPr>
        </w:pPr>
        <w:r>
          <w:rPr>
            <w:b/>
            <w:szCs w:val="22"/>
          </w:rPr>
          <w:t>CNPJ/MF</w:t>
        </w:r>
        <w:r>
          <w:rPr>
            <w:szCs w:val="22"/>
          </w:rPr>
          <w:t xml:space="preserve"> nº 10.517.563/0001-05 - </w:t>
        </w:r>
        <w:r>
          <w:rPr>
            <w:b/>
            <w:szCs w:val="22"/>
          </w:rPr>
          <w:t>CGF nº</w:t>
        </w:r>
        <w:r>
          <w:rPr>
            <w:szCs w:val="22"/>
          </w:rPr>
          <w:t xml:space="preserve"> 06.920.294-0</w:t>
        </w:r>
        <w:r>
          <w:rPr>
            <w:noProof/>
            <w:sz w:val="18"/>
            <w:lang w:eastAsia="pt-BR"/>
          </w:rPr>
          <w:drawing>
            <wp:anchor distT="0" distB="0" distL="114300" distR="114300" simplePos="0" relativeHeight="251699200"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518755830" name="Imagem 518755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96128"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518755831" name="Imagem 518755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777337233"/>
      <w:docPartObj>
        <w:docPartGallery w:val="Page Numbers (Top of Page)"/>
        <w:docPartUnique/>
      </w:docPartObj>
    </w:sdtPr>
    <w:sdtContent>
      <w:p>
        <w:pPr>
          <w:pStyle w:val="Rodap"/>
          <w:jc w:val="center"/>
          <w:rPr>
            <w:szCs w:val="22"/>
          </w:rPr>
        </w:pPr>
        <w:r>
          <w:rPr>
            <w:noProof/>
            <w:sz w:val="18"/>
            <w:lang w:eastAsia="pt-BR"/>
            <w14:ligatures w14:val="standardContextual"/>
          </w:rPr>
          <w:drawing>
            <wp:anchor distT="0" distB="0" distL="114300" distR="114300" simplePos="0" relativeHeight="251723776"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33" name="Imagem 518755833"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14:ligatures w14:val="standardContextual"/>
          </w:rPr>
          <w:drawing>
            <wp:anchor distT="0" distB="0" distL="114300" distR="114300" simplePos="0" relativeHeight="251726848"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34" name="Imagem 518755834"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14:ligatures w14:val="standardContextual"/>
          </w:rPr>
          <w:drawing>
            <wp:anchor distT="0" distB="0" distL="114300" distR="114300" simplePos="0" relativeHeight="251729920"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518755835" name="Imagem 518755835"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2"/>
          </w:rPr>
          <w:t>Esplanada da Estação, 433 – Centro – Miraíma – CE</w:t>
        </w:r>
      </w:p>
      <w:p>
        <w:pPr>
          <w:pStyle w:val="Rodap"/>
          <w:jc w:val="center"/>
          <w:rPr>
            <w:szCs w:val="22"/>
          </w:rPr>
        </w:pPr>
        <w:r>
          <w:rPr>
            <w:szCs w:val="22"/>
          </w:rPr>
          <w:t xml:space="preserve">Telefone: 88 36301167 – E-mail: </w:t>
        </w:r>
        <w:hyperlink r:id="rId3" w:history="1">
          <w:r>
            <w:rPr>
              <w:rStyle w:val="Hyperlink"/>
              <w:szCs w:val="22"/>
            </w:rPr>
            <w:t>gabinete@miraima.ce.gov.br</w:t>
          </w:r>
        </w:hyperlink>
        <w:r>
          <w:rPr>
            <w:szCs w:val="22"/>
          </w:rPr>
          <w:t xml:space="preserve"> </w:t>
        </w:r>
      </w:p>
      <w:p>
        <w:pPr>
          <w:pStyle w:val="Rodap"/>
          <w:jc w:val="center"/>
          <w:rPr>
            <w:b/>
            <w:bCs/>
            <w:sz w:val="22"/>
            <w:szCs w:val="24"/>
          </w:rPr>
        </w:pPr>
        <w:r>
          <w:rPr>
            <w:b/>
            <w:szCs w:val="22"/>
          </w:rPr>
          <w:t>CNPJ/MF</w:t>
        </w:r>
        <w:r>
          <w:rPr>
            <w:szCs w:val="22"/>
          </w:rPr>
          <w:t xml:space="preserve"> nº 10.517.563/0001-05 - </w:t>
        </w:r>
        <w:r>
          <w:rPr>
            <w:b/>
            <w:szCs w:val="22"/>
          </w:rPr>
          <w:t>CGF nº</w:t>
        </w:r>
        <w:r>
          <w:rPr>
            <w:szCs w:val="22"/>
          </w:rPr>
          <w:t xml:space="preserve"> 06.920.294-0</w:t>
        </w:r>
        <w:r>
          <w:rPr>
            <w:noProof/>
            <w:sz w:val="18"/>
            <w:lang w:eastAsia="pt-BR"/>
          </w:rPr>
          <w:drawing>
            <wp:anchor distT="0" distB="0" distL="114300" distR="114300" simplePos="0" relativeHeight="251717632"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518755836" name="Imagem 518755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714560"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518755837" name="Imagem 518755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jc w:val="center"/>
      <w:rPr>
        <w:b/>
        <w:noProof/>
        <w:color w:val="333399"/>
        <w:sz w:val="26"/>
        <w:szCs w:val="26"/>
      </w:rPr>
    </w:pPr>
    <w:r>
      <w:rPr>
        <w:noProof/>
        <w:lang w:eastAsia="pt-BR"/>
      </w:rPr>
      <mc:AlternateContent>
        <mc:Choice Requires="wpg">
          <w:drawing>
            <wp:anchor distT="0" distB="0" distL="114300" distR="114300" simplePos="0" relativeHeight="251688448" behindDoc="0" locked="0" layoutInCell="1" allowOverlap="1">
              <wp:simplePos x="0" y="0"/>
              <wp:positionH relativeFrom="column">
                <wp:posOffset>5224145</wp:posOffset>
              </wp:positionH>
              <wp:positionV relativeFrom="paragraph">
                <wp:posOffset>-84455</wp:posOffset>
              </wp:positionV>
              <wp:extent cx="1000125" cy="1090295"/>
              <wp:effectExtent l="0" t="0" r="28575" b="0"/>
              <wp:wrapNone/>
              <wp:docPr id="5"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125" cy="1090295"/>
                        <a:chOff x="10275" y="240"/>
                        <a:chExt cx="1575" cy="1717"/>
                      </a:xfrm>
                    </wpg:grpSpPr>
                    <wps:wsp>
                      <wps:cNvPr id="6" name="Oval 43"/>
                      <wps:cNvSpPr>
                        <a:spLocks noChangeArrowheads="1"/>
                      </wps:cNvSpPr>
                      <wps:spPr bwMode="auto">
                        <a:xfrm>
                          <a:off x="10275" y="240"/>
                          <a:ext cx="1575" cy="163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WordArt 44"/>
                      <wps:cNvSpPr txBox="1">
                        <a:spLocks noChangeArrowheads="1" noChangeShapeType="1" noTextEdit="1"/>
                      </wps:cNvSpPr>
                      <wps:spPr bwMode="auto">
                        <a:xfrm>
                          <a:off x="10448" y="418"/>
                          <a:ext cx="1245" cy="972"/>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pPr>
                            <w:r>
                              <w:rPr>
                                <w:rFonts w:ascii="Arial Unicode MS" w:hAnsi="Arial Unicode MS"/>
                                <w:color w:val="000000"/>
                                <w:sz w:val="72"/>
                                <w:szCs w:val="72"/>
                                <w14:textOutline w14:w="9525" w14:cap="flat" w14:cmpd="sng" w14:algn="ctr">
                                  <w14:solidFill>
                                    <w14:srgbClr w14:val="000000"/>
                                  </w14:solidFill>
                                  <w14:prstDash w14:val="solid"/>
                                  <w14:round/>
                                </w14:textOutline>
                              </w:rPr>
                              <w:t>SETOR DE LICITAÇÃO</w:t>
                            </w:r>
                          </w:p>
                        </w:txbxContent>
                      </wps:txbx>
                      <wps:bodyPr spcFirstLastPara="1" wrap="square" numCol="1" fromWordArt="1">
                        <a:prstTxWarp prst="textArchUp">
                          <a:avLst>
                            <a:gd name="adj" fmla="val 9177295"/>
                          </a:avLst>
                        </a:prstTxWarp>
                        <a:spAutoFit/>
                      </wps:bodyPr>
                    </wps:wsp>
                    <wps:wsp>
                      <wps:cNvPr id="8" name="Text Box 45"/>
                      <wps:cNvSpPr txBox="1">
                        <a:spLocks noChangeArrowheads="1"/>
                      </wps:cNvSpPr>
                      <wps:spPr bwMode="auto">
                        <a:xfrm>
                          <a:off x="10441" y="1019"/>
                          <a:ext cx="1222" cy="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sz w:val="16"/>
                              </w:rPr>
                            </w:pPr>
                            <w:r>
                              <w:rPr>
                                <w:sz w:val="16"/>
                              </w:rPr>
                              <w:t>Fls. ________</w:t>
                            </w:r>
                          </w:p>
                          <w:p>
                            <w:pPr>
                              <w:rPr>
                                <w:sz w:val="16"/>
                              </w:rPr>
                            </w:pPr>
                          </w:p>
                          <w:p>
                            <w:pPr>
                              <w:jc w:val="center"/>
                              <w:rPr>
                                <w:sz w:val="16"/>
                              </w:rPr>
                            </w:pPr>
                            <w:r>
                              <w:rPr>
                                <w:sz w:val="16"/>
                              </w:rPr>
                              <w:t>___________</w:t>
                            </w:r>
                          </w:p>
                          <w:p>
                            <w:pPr>
                              <w:jc w:val="center"/>
                              <w:rPr>
                                <w:sz w:val="16"/>
                              </w:rPr>
                            </w:pPr>
                            <w:r>
                              <w:rPr>
                                <w:sz w:val="16"/>
                              </w:rPr>
                              <w:t>Rubrica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 o:spid="_x0000_s1026" style="position:absolute;left:0;text-align:left;margin-left:411.35pt;margin-top:-6.65pt;width:78.75pt;height:85.85pt;z-index:251688448" coordorigin="10275,240" coordsize="1575,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">
              <v:oval id="Oval 43" o:spid="_x0000_s1027" style="position:absolute;left:10275;top:240;width:1575;height:1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shapetype id="_x0000_t202" coordsize="21600,21600" o:spt="202" path="m,l,21600r21600,l21600,xe">
                <v:stroke joinstyle="miter"/>
                <v:path gradientshapeok="t" o:connecttype="rect"/>
              </v:shapetype>
              <v:shape id="WordArt 44" o:spid="_x0000_s1028" type="#_x0000_t202" style="position:absolute;left:10448;top:418;width:1245;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o:lock v:ext="edit" shapetype="t"/>
                <v:textbox style="mso-fit-shape-to-text:t">
                  <w:txbxContent>
                    <w:p>
                      <w:pPr>
                        <w:pStyle w:val="NormalWeb"/>
                        <w:spacing w:before="0" w:beforeAutospacing="0" w:after="0" w:afterAutospacing="0"/>
                        <w:jc w:val="center"/>
                      </w:pPr>
                      <w:r>
                        <w:rPr>
                          <w:rFonts w:ascii="Arial Unicode MS" w:hAnsi="Arial Unicode MS"/>
                          <w:color w:val="000000"/>
                          <w:sz w:val="72"/>
                          <w:szCs w:val="72"/>
                          <w14:textOutline w14:w="9525" w14:cap="flat" w14:cmpd="sng" w14:algn="ctr">
                            <w14:solidFill>
                              <w14:srgbClr w14:val="000000"/>
                            </w14:solidFill>
                            <w14:prstDash w14:val="solid"/>
                            <w14:round/>
                          </w14:textOutline>
                        </w:rPr>
                        <w:t>SETOR DE LICITAÇÃO</w:t>
                      </w:r>
                    </w:p>
                  </w:txbxContent>
                </v:textbox>
              </v:shape>
              <v:shape id="Text Box 45" o:spid="_x0000_s1029" type="#_x0000_t202" style="position:absolute;left:10441;top:1019;width:1222;height: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pPr>
                        <w:rPr>
                          <w:sz w:val="16"/>
                        </w:rPr>
                      </w:pPr>
                      <w:r>
                        <w:rPr>
                          <w:sz w:val="16"/>
                        </w:rPr>
                        <w:t>Fls. ________</w:t>
                      </w:r>
                    </w:p>
                    <w:p>
                      <w:pPr>
                        <w:rPr>
                          <w:sz w:val="16"/>
                        </w:rPr>
                      </w:pPr>
                    </w:p>
                    <w:p>
                      <w:pPr>
                        <w:jc w:val="center"/>
                        <w:rPr>
                          <w:sz w:val="16"/>
                        </w:rPr>
                      </w:pPr>
                      <w:r>
                        <w:rPr>
                          <w:sz w:val="16"/>
                        </w:rPr>
                        <w:t>___________</w:t>
                      </w:r>
                    </w:p>
                    <w:p>
                      <w:pPr>
                        <w:jc w:val="center"/>
                        <w:rPr>
                          <w:sz w:val="16"/>
                        </w:rPr>
                      </w:pPr>
                      <w:r>
                        <w:rPr>
                          <w:sz w:val="16"/>
                        </w:rPr>
                        <w:t>Rubrica</w:t>
                      </w:r>
                    </w:p>
                  </w:txbxContent>
                </v:textbox>
              </v:shape>
            </v:group>
          </w:pict>
        </mc:Fallback>
      </mc:AlternateContent>
    </w:r>
    <w:r>
      <w:rPr>
        <w:noProof/>
        <w:lang w:eastAsia="pt-BR"/>
        <w14:ligatures w14:val="standardContextual"/>
      </w:rPr>
      <w:drawing>
        <wp:anchor distT="0" distB="0" distL="114300" distR="114300" simplePos="0" relativeHeight="251702272" behindDoc="0" locked="0" layoutInCell="1" allowOverlap="1">
          <wp:simplePos x="0" y="0"/>
          <wp:positionH relativeFrom="margin">
            <wp:posOffset>2230552</wp:posOffset>
          </wp:positionH>
          <wp:positionV relativeFrom="margin">
            <wp:posOffset>-1368425</wp:posOffset>
          </wp:positionV>
          <wp:extent cx="1266825" cy="1285875"/>
          <wp:effectExtent l="0" t="0" r="9525" b="9525"/>
          <wp:wrapNone/>
          <wp:docPr id="518755826" name="Imagem 518755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1285875"/>
                  </a:xfrm>
                  <a:prstGeom prst="rect">
                    <a:avLst/>
                  </a:prstGeom>
                  <a:noFill/>
                </pic:spPr>
              </pic:pic>
            </a:graphicData>
          </a:graphic>
          <wp14:sizeRelH relativeFrom="page">
            <wp14:pctWidth>0</wp14:pctWidth>
          </wp14:sizeRelH>
          <wp14:sizeRelV relativeFrom="page">
            <wp14:pctHeight>0</wp14:pctHeight>
          </wp14:sizeRelV>
        </wp:anchor>
      </w:drawing>
    </w:r>
  </w:p>
  <w:p>
    <w:pPr>
      <w:pStyle w:val="Cabealho"/>
    </w:pPr>
  </w:p>
  <w:p>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jc w:val="center"/>
      <w:rPr>
        <w:b/>
        <w:noProof/>
        <w:color w:val="333399"/>
        <w:sz w:val="26"/>
        <w:szCs w:val="26"/>
      </w:rPr>
    </w:pPr>
    <w:r>
      <w:rPr>
        <w:noProof/>
        <w:lang w:eastAsia="pt-BR"/>
      </w:rPr>
      <mc:AlternateContent>
        <mc:Choice Requires="wpg">
          <w:drawing>
            <wp:anchor distT="0" distB="0" distL="114300" distR="114300" simplePos="0" relativeHeight="251689472" behindDoc="0" locked="0" layoutInCell="1" allowOverlap="1">
              <wp:simplePos x="0" y="0"/>
              <wp:positionH relativeFrom="column">
                <wp:posOffset>5224145</wp:posOffset>
              </wp:positionH>
              <wp:positionV relativeFrom="paragraph">
                <wp:posOffset>-84455</wp:posOffset>
              </wp:positionV>
              <wp:extent cx="1000125" cy="1090295"/>
              <wp:effectExtent l="0" t="0" r="28575" b="0"/>
              <wp:wrapNone/>
              <wp:docPr id="1"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125" cy="1090295"/>
                        <a:chOff x="10275" y="240"/>
                        <a:chExt cx="1575" cy="1717"/>
                      </a:xfrm>
                    </wpg:grpSpPr>
                    <wps:wsp>
                      <wps:cNvPr id="2" name="Oval 47"/>
                      <wps:cNvSpPr>
                        <a:spLocks noChangeArrowheads="1"/>
                      </wps:cNvSpPr>
                      <wps:spPr bwMode="auto">
                        <a:xfrm>
                          <a:off x="10275" y="240"/>
                          <a:ext cx="1575" cy="163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WordArt 48"/>
                      <wps:cNvSpPr txBox="1">
                        <a:spLocks noChangeArrowheads="1" noChangeShapeType="1" noTextEdit="1"/>
                      </wps:cNvSpPr>
                      <wps:spPr bwMode="auto">
                        <a:xfrm>
                          <a:off x="10448" y="418"/>
                          <a:ext cx="1245" cy="972"/>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pPr>
                            <w:r>
                              <w:rPr>
                                <w:rFonts w:ascii="Arial Unicode MS" w:hAnsi="Arial Unicode MS"/>
                                <w:color w:val="000000"/>
                                <w:sz w:val="72"/>
                                <w:szCs w:val="72"/>
                                <w14:textOutline w14:w="9525" w14:cap="flat" w14:cmpd="sng" w14:algn="ctr">
                                  <w14:solidFill>
                                    <w14:srgbClr w14:val="000000"/>
                                  </w14:solidFill>
                                  <w14:prstDash w14:val="solid"/>
                                  <w14:round/>
                                </w14:textOutline>
                              </w:rPr>
                              <w:t>SETOR DE LICITAÇÃO</w:t>
                            </w:r>
                          </w:p>
                        </w:txbxContent>
                      </wps:txbx>
                      <wps:bodyPr spcFirstLastPara="1" wrap="square" numCol="1" fromWordArt="1">
                        <a:prstTxWarp prst="textArchUp">
                          <a:avLst>
                            <a:gd name="adj" fmla="val 9177295"/>
                          </a:avLst>
                        </a:prstTxWarp>
                        <a:spAutoFit/>
                      </wps:bodyPr>
                    </wps:wsp>
                    <wps:wsp>
                      <wps:cNvPr id="4" name="Text Box 49"/>
                      <wps:cNvSpPr txBox="1">
                        <a:spLocks noChangeArrowheads="1"/>
                      </wps:cNvSpPr>
                      <wps:spPr bwMode="auto">
                        <a:xfrm>
                          <a:off x="10441" y="1019"/>
                          <a:ext cx="1222" cy="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sz w:val="16"/>
                              </w:rPr>
                            </w:pPr>
                            <w:r>
                              <w:rPr>
                                <w:sz w:val="16"/>
                              </w:rPr>
                              <w:t>Fls. ________</w:t>
                            </w:r>
                          </w:p>
                          <w:p>
                            <w:pPr>
                              <w:rPr>
                                <w:sz w:val="16"/>
                              </w:rPr>
                            </w:pPr>
                          </w:p>
                          <w:p>
                            <w:pPr>
                              <w:jc w:val="center"/>
                              <w:rPr>
                                <w:sz w:val="16"/>
                              </w:rPr>
                            </w:pPr>
                            <w:r>
                              <w:rPr>
                                <w:sz w:val="16"/>
                              </w:rPr>
                              <w:t>___________</w:t>
                            </w:r>
                          </w:p>
                          <w:p>
                            <w:pPr>
                              <w:jc w:val="center"/>
                              <w:rPr>
                                <w:sz w:val="16"/>
                              </w:rPr>
                            </w:pPr>
                            <w:r>
                              <w:rPr>
                                <w:sz w:val="16"/>
                              </w:rPr>
                              <w:t>Rubrica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0" style="position:absolute;left:0;text-align:left;margin-left:411.35pt;margin-top:-6.65pt;width:78.75pt;height:85.85pt;z-index:251689472" coordorigin="10275,240" coordsize="1575,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">
              <v:oval id="Oval 47" o:spid="_x0000_s1031" style="position:absolute;left:10275;top:240;width:1575;height:1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shapetype id="_x0000_t202" coordsize="21600,21600" o:spt="202" path="m,l,21600r21600,l21600,xe">
                <v:stroke joinstyle="miter"/>
                <v:path gradientshapeok="t" o:connecttype="rect"/>
              </v:shapetype>
              <v:shape id="WordArt 48" o:spid="_x0000_s1032" type="#_x0000_t202" style="position:absolute;left:10448;top:418;width:1245;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o:lock v:ext="edit" shapetype="t"/>
                <v:textbox style="mso-fit-shape-to-text:t">
                  <w:txbxContent>
                    <w:p>
                      <w:pPr>
                        <w:pStyle w:val="NormalWeb"/>
                        <w:spacing w:before="0" w:beforeAutospacing="0" w:after="0" w:afterAutospacing="0"/>
                        <w:jc w:val="center"/>
                      </w:pPr>
                      <w:r>
                        <w:rPr>
                          <w:rFonts w:ascii="Arial Unicode MS" w:hAnsi="Arial Unicode MS"/>
                          <w:color w:val="000000"/>
                          <w:sz w:val="72"/>
                          <w:szCs w:val="72"/>
                          <w14:textOutline w14:w="9525" w14:cap="flat" w14:cmpd="sng" w14:algn="ctr">
                            <w14:solidFill>
                              <w14:srgbClr w14:val="000000"/>
                            </w14:solidFill>
                            <w14:prstDash w14:val="solid"/>
                            <w14:round/>
                          </w14:textOutline>
                        </w:rPr>
                        <w:t>SETOR DE LICITAÇÃO</w:t>
                      </w:r>
                    </w:p>
                  </w:txbxContent>
                </v:textbox>
              </v:shape>
              <v:shape id="Text Box 49" o:spid="_x0000_s1033" type="#_x0000_t202" style="position:absolute;left:10441;top:1019;width:1222;height: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pPr>
                        <w:rPr>
                          <w:sz w:val="16"/>
                        </w:rPr>
                      </w:pPr>
                      <w:r>
                        <w:rPr>
                          <w:sz w:val="16"/>
                        </w:rPr>
                        <w:t>Fls. ________</w:t>
                      </w:r>
                    </w:p>
                    <w:p>
                      <w:pPr>
                        <w:rPr>
                          <w:sz w:val="16"/>
                        </w:rPr>
                      </w:pPr>
                    </w:p>
                    <w:p>
                      <w:pPr>
                        <w:jc w:val="center"/>
                        <w:rPr>
                          <w:sz w:val="16"/>
                        </w:rPr>
                      </w:pPr>
                      <w:r>
                        <w:rPr>
                          <w:sz w:val="16"/>
                        </w:rPr>
                        <w:t>___________</w:t>
                      </w:r>
                    </w:p>
                    <w:p>
                      <w:pPr>
                        <w:jc w:val="center"/>
                        <w:rPr>
                          <w:sz w:val="16"/>
                        </w:rPr>
                      </w:pPr>
                      <w:r>
                        <w:rPr>
                          <w:sz w:val="16"/>
                        </w:rPr>
                        <w:t>Rubrica</w:t>
                      </w:r>
                    </w:p>
                  </w:txbxContent>
                </v:textbox>
              </v:shape>
            </v:group>
          </w:pict>
        </mc:Fallback>
      </mc:AlternateContent>
    </w:r>
    <w:r>
      <w:rPr>
        <w:noProof/>
        <w:lang w:eastAsia="pt-BR"/>
        <w14:ligatures w14:val="standardContextual"/>
      </w:rPr>
      <w:drawing>
        <wp:anchor distT="0" distB="0" distL="114300" distR="114300" simplePos="0" relativeHeight="251720704" behindDoc="0" locked="0" layoutInCell="1" allowOverlap="1">
          <wp:simplePos x="0" y="0"/>
          <wp:positionH relativeFrom="margin">
            <wp:posOffset>2230552</wp:posOffset>
          </wp:positionH>
          <wp:positionV relativeFrom="margin">
            <wp:posOffset>-1368425</wp:posOffset>
          </wp:positionV>
          <wp:extent cx="1266825" cy="1285875"/>
          <wp:effectExtent l="0" t="0" r="9525" b="9525"/>
          <wp:wrapNone/>
          <wp:docPr id="518755832" name="Imagem 518755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1285875"/>
                  </a:xfrm>
                  <a:prstGeom prst="rect">
                    <a:avLst/>
                  </a:prstGeom>
                  <a:noFill/>
                </pic:spPr>
              </pic:pic>
            </a:graphicData>
          </a:graphic>
          <wp14:sizeRelH relativeFrom="page">
            <wp14:pctWidth>0</wp14:pctWidth>
          </wp14:sizeRelH>
          <wp14:sizeRelV relativeFrom="page">
            <wp14:pctHeight>0</wp14:pctHeight>
          </wp14:sizeRelV>
        </wp:anchor>
      </w:drawing>
    </w:r>
  </w:p>
  <w:p>
    <w:pPr>
      <w:pStyle w:val="Cabealho"/>
    </w:pPr>
  </w:p>
  <w:p>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pStyle w:val="Ttulo5"/>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1B06820"/>
    <w:multiLevelType w:val="hybridMultilevel"/>
    <w:tmpl w:val="C39A88B0"/>
    <w:lvl w:ilvl="0" w:tplc="3AFE8D22">
      <w:start w:val="1"/>
      <w:numFmt w:val="upperRoman"/>
      <w:lvlText w:val="%1."/>
      <w:lvlJc w:val="left"/>
      <w:pPr>
        <w:ind w:left="1145" w:hanging="711"/>
      </w:pPr>
      <w:rPr>
        <w:rFonts w:hint="default"/>
        <w:b/>
        <w:bCs/>
        <w:w w:val="100"/>
        <w:lang w:val="pt-PT" w:eastAsia="en-US" w:bidi="ar-SA"/>
      </w:rPr>
    </w:lvl>
    <w:lvl w:ilvl="1" w:tplc="EDE65952">
      <w:start w:val="1"/>
      <w:numFmt w:val="decimal"/>
      <w:lvlText w:val="%2."/>
      <w:lvlJc w:val="left"/>
      <w:pPr>
        <w:ind w:left="435" w:hanging="711"/>
      </w:pPr>
      <w:rPr>
        <w:rFonts w:ascii="Times New Roman" w:eastAsia="Times New Roman" w:hAnsi="Times New Roman" w:cs="Times New Roman" w:hint="default"/>
        <w:w w:val="100"/>
        <w:sz w:val="24"/>
        <w:szCs w:val="24"/>
        <w:lang w:val="pt-PT" w:eastAsia="en-US" w:bidi="ar-SA"/>
      </w:rPr>
    </w:lvl>
    <w:lvl w:ilvl="2" w:tplc="31DE6750">
      <w:numFmt w:val="bullet"/>
      <w:lvlText w:val="•"/>
      <w:lvlJc w:val="left"/>
      <w:pPr>
        <w:ind w:left="2145" w:hanging="711"/>
      </w:pPr>
      <w:rPr>
        <w:rFonts w:hint="default"/>
        <w:lang w:val="pt-PT" w:eastAsia="en-US" w:bidi="ar-SA"/>
      </w:rPr>
    </w:lvl>
    <w:lvl w:ilvl="3" w:tplc="0464C66C">
      <w:numFmt w:val="bullet"/>
      <w:lvlText w:val="•"/>
      <w:lvlJc w:val="left"/>
      <w:pPr>
        <w:ind w:left="3150" w:hanging="711"/>
      </w:pPr>
      <w:rPr>
        <w:rFonts w:hint="default"/>
        <w:lang w:val="pt-PT" w:eastAsia="en-US" w:bidi="ar-SA"/>
      </w:rPr>
    </w:lvl>
    <w:lvl w:ilvl="4" w:tplc="C5FA876C">
      <w:numFmt w:val="bullet"/>
      <w:lvlText w:val="•"/>
      <w:lvlJc w:val="left"/>
      <w:pPr>
        <w:ind w:left="4155" w:hanging="711"/>
      </w:pPr>
      <w:rPr>
        <w:rFonts w:hint="default"/>
        <w:lang w:val="pt-PT" w:eastAsia="en-US" w:bidi="ar-SA"/>
      </w:rPr>
    </w:lvl>
    <w:lvl w:ilvl="5" w:tplc="AD3EBF8E">
      <w:numFmt w:val="bullet"/>
      <w:lvlText w:val="•"/>
      <w:lvlJc w:val="left"/>
      <w:pPr>
        <w:ind w:left="5160" w:hanging="711"/>
      </w:pPr>
      <w:rPr>
        <w:rFonts w:hint="default"/>
        <w:lang w:val="pt-PT" w:eastAsia="en-US" w:bidi="ar-SA"/>
      </w:rPr>
    </w:lvl>
    <w:lvl w:ilvl="6" w:tplc="47202C6E">
      <w:numFmt w:val="bullet"/>
      <w:lvlText w:val="•"/>
      <w:lvlJc w:val="left"/>
      <w:pPr>
        <w:ind w:left="6165" w:hanging="711"/>
      </w:pPr>
      <w:rPr>
        <w:rFonts w:hint="default"/>
        <w:lang w:val="pt-PT" w:eastAsia="en-US" w:bidi="ar-SA"/>
      </w:rPr>
    </w:lvl>
    <w:lvl w:ilvl="7" w:tplc="EE10837C">
      <w:numFmt w:val="bullet"/>
      <w:lvlText w:val="•"/>
      <w:lvlJc w:val="left"/>
      <w:pPr>
        <w:ind w:left="7170" w:hanging="711"/>
      </w:pPr>
      <w:rPr>
        <w:rFonts w:hint="default"/>
        <w:lang w:val="pt-PT" w:eastAsia="en-US" w:bidi="ar-SA"/>
      </w:rPr>
    </w:lvl>
    <w:lvl w:ilvl="8" w:tplc="B4F24DC2">
      <w:numFmt w:val="bullet"/>
      <w:lvlText w:val="•"/>
      <w:lvlJc w:val="left"/>
      <w:pPr>
        <w:ind w:left="8176" w:hanging="711"/>
      </w:pPr>
      <w:rPr>
        <w:rFonts w:hint="default"/>
        <w:lang w:val="pt-PT" w:eastAsia="en-US" w:bidi="ar-SA"/>
      </w:r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7C121A6"/>
    <w:multiLevelType w:val="hybridMultilevel"/>
    <w:tmpl w:val="65DC401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
    <w:nsid w:val="09F35EA1"/>
    <w:multiLevelType w:val="hybridMultilevel"/>
    <w:tmpl w:val="CC6CBF14"/>
    <w:lvl w:ilvl="0" w:tplc="DE561F12">
      <w:start w:val="1"/>
      <w:numFmt w:val="decimal"/>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6E21129"/>
    <w:multiLevelType w:val="hybridMultilevel"/>
    <w:tmpl w:val="EB1E795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BC50E76"/>
    <w:multiLevelType w:val="hybridMultilevel"/>
    <w:tmpl w:val="CC6CBF14"/>
    <w:lvl w:ilvl="0" w:tplc="DE561F12">
      <w:start w:val="1"/>
      <w:numFmt w:val="decimal"/>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4801E8"/>
    <w:multiLevelType w:val="hybridMultilevel"/>
    <w:tmpl w:val="8C948A5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9">
    <w:nsid w:val="1D5C100D"/>
    <w:multiLevelType w:val="multilevel"/>
    <w:tmpl w:val="3572B09A"/>
    <w:lvl w:ilvl="0">
      <w:start w:val="1"/>
      <w:numFmt w:val="decimal"/>
      <w:pStyle w:val="Nivel01"/>
      <w:lvlText w:val="%1."/>
      <w:lvlJc w:val="left"/>
      <w:pPr>
        <w:ind w:left="360" w:hanging="360"/>
      </w:pPr>
      <w:rPr>
        <w:b/>
      </w:rPr>
    </w:lvl>
    <w:lvl w:ilvl="1">
      <w:start w:val="1"/>
      <w:numFmt w:val="decimal"/>
      <w:pStyle w:val="Nivel2"/>
      <w:lvlText w:val="%1.%2."/>
      <w:lvlJc w:val="left"/>
      <w:pPr>
        <w:ind w:left="3410" w:hanging="432"/>
      </w:pPr>
      <w:rPr>
        <w:b w:val="0"/>
        <w:i w:val="0"/>
        <w:strike w:val="0"/>
        <w:color w:val="auto"/>
        <w:sz w:val="24"/>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4"/>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3843E8"/>
    <w:multiLevelType w:val="hybridMultilevel"/>
    <w:tmpl w:val="65DC401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nsid w:val="23B04421"/>
    <w:multiLevelType w:val="multilevel"/>
    <w:tmpl w:val="4B94E500"/>
    <w:lvl w:ilvl="0">
      <w:start w:val="1"/>
      <w:numFmt w:val="decimal"/>
      <w:lvlText w:val="%1."/>
      <w:lvlJc w:val="left"/>
      <w:pPr>
        <w:ind w:left="720" w:hanging="360"/>
      </w:pPr>
      <w:rPr>
        <w:b/>
        <w:bCs/>
      </w:rPr>
    </w:lvl>
    <w:lvl w:ilvl="1">
      <w:start w:val="2"/>
      <w:numFmt w:val="decimal"/>
      <w:pStyle w:val="Nvel2-Red"/>
      <w:isLgl/>
      <w:lvlText w:val="%1.%2."/>
      <w:lvlJc w:val="left"/>
      <w:pPr>
        <w:ind w:left="435" w:hanging="435"/>
      </w:pPr>
      <w:rPr>
        <w:rFonts w:hint="default"/>
      </w:rPr>
    </w:lvl>
    <w:lvl w:ilvl="2">
      <w:start w:val="1"/>
      <w:numFmt w:val="decimal"/>
      <w:pStyle w:val="Nvel3-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B5E7626"/>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CEF1808"/>
    <w:multiLevelType w:val="hybridMultilevel"/>
    <w:tmpl w:val="28A0CD1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14">
    <w:nsid w:val="3B4E4EDC"/>
    <w:multiLevelType w:val="multilevel"/>
    <w:tmpl w:val="4F2CE102"/>
    <w:lvl w:ilvl="0">
      <w:start w:val="3"/>
      <w:numFmt w:val="upperRoman"/>
      <w:lvlText w:val="%1"/>
      <w:lvlJc w:val="left"/>
      <w:pPr>
        <w:ind w:left="1145" w:hanging="711"/>
      </w:pPr>
      <w:rPr>
        <w:rFonts w:hint="default"/>
        <w:lang w:val="pt-PT" w:eastAsia="en-US" w:bidi="ar-SA"/>
      </w:rPr>
    </w:lvl>
    <w:lvl w:ilvl="1">
      <w:start w:val="1"/>
      <w:numFmt w:val="upperLetter"/>
      <w:lvlText w:val="%1.%2"/>
      <w:lvlJc w:val="left"/>
      <w:pPr>
        <w:ind w:left="9075" w:hanging="711"/>
      </w:pPr>
      <w:rPr>
        <w:rFonts w:hint="default"/>
        <w:b/>
        <w:bCs/>
        <w:spacing w:val="-3"/>
        <w:w w:val="100"/>
        <w:sz w:val="24"/>
        <w:szCs w:val="24"/>
        <w:lang w:val="pt-PT" w:eastAsia="en-US" w:bidi="ar-SA"/>
      </w:rPr>
    </w:lvl>
    <w:lvl w:ilvl="2">
      <w:numFmt w:val="bullet"/>
      <w:lvlText w:val="•"/>
      <w:lvlJc w:val="left"/>
      <w:pPr>
        <w:ind w:left="2949" w:hanging="711"/>
      </w:pPr>
      <w:rPr>
        <w:rFonts w:hint="default"/>
        <w:lang w:val="pt-PT" w:eastAsia="en-US" w:bidi="ar-SA"/>
      </w:rPr>
    </w:lvl>
    <w:lvl w:ilvl="3">
      <w:numFmt w:val="bullet"/>
      <w:lvlText w:val="•"/>
      <w:lvlJc w:val="left"/>
      <w:pPr>
        <w:ind w:left="3853" w:hanging="711"/>
      </w:pPr>
      <w:rPr>
        <w:rFonts w:hint="default"/>
        <w:lang w:val="pt-PT" w:eastAsia="en-US" w:bidi="ar-SA"/>
      </w:rPr>
    </w:lvl>
    <w:lvl w:ilvl="4">
      <w:numFmt w:val="bullet"/>
      <w:lvlText w:val="•"/>
      <w:lvlJc w:val="left"/>
      <w:pPr>
        <w:ind w:left="4758" w:hanging="711"/>
      </w:pPr>
      <w:rPr>
        <w:rFonts w:hint="default"/>
        <w:lang w:val="pt-PT" w:eastAsia="en-US" w:bidi="ar-SA"/>
      </w:rPr>
    </w:lvl>
    <w:lvl w:ilvl="5">
      <w:numFmt w:val="bullet"/>
      <w:lvlText w:val="•"/>
      <w:lvlJc w:val="left"/>
      <w:pPr>
        <w:ind w:left="5663" w:hanging="711"/>
      </w:pPr>
      <w:rPr>
        <w:rFonts w:hint="default"/>
        <w:lang w:val="pt-PT" w:eastAsia="en-US" w:bidi="ar-SA"/>
      </w:rPr>
    </w:lvl>
    <w:lvl w:ilvl="6">
      <w:numFmt w:val="bullet"/>
      <w:lvlText w:val="•"/>
      <w:lvlJc w:val="left"/>
      <w:pPr>
        <w:ind w:left="6567" w:hanging="711"/>
      </w:pPr>
      <w:rPr>
        <w:rFonts w:hint="default"/>
        <w:lang w:val="pt-PT" w:eastAsia="en-US" w:bidi="ar-SA"/>
      </w:rPr>
    </w:lvl>
    <w:lvl w:ilvl="7">
      <w:numFmt w:val="bullet"/>
      <w:lvlText w:val="•"/>
      <w:lvlJc w:val="left"/>
      <w:pPr>
        <w:ind w:left="7472" w:hanging="711"/>
      </w:pPr>
      <w:rPr>
        <w:rFonts w:hint="default"/>
        <w:lang w:val="pt-PT" w:eastAsia="en-US" w:bidi="ar-SA"/>
      </w:rPr>
    </w:lvl>
    <w:lvl w:ilvl="8">
      <w:numFmt w:val="bullet"/>
      <w:lvlText w:val="•"/>
      <w:lvlJc w:val="left"/>
      <w:pPr>
        <w:ind w:left="8377" w:hanging="711"/>
      </w:pPr>
      <w:rPr>
        <w:rFonts w:hint="default"/>
        <w:lang w:val="pt-PT" w:eastAsia="en-US" w:bidi="ar-SA"/>
      </w:rPr>
    </w:lvl>
  </w:abstractNum>
  <w:abstractNum w:abstractNumId="15">
    <w:nsid w:val="3E1D2BDD"/>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6817BE7"/>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7">
    <w:nsid w:val="46F975D5"/>
    <w:multiLevelType w:val="multilevel"/>
    <w:tmpl w:val="697A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173F25"/>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A81589"/>
    <w:multiLevelType w:val="hybridMultilevel"/>
    <w:tmpl w:val="AA44761A"/>
    <w:lvl w:ilvl="0" w:tplc="45DED0A8">
      <w:start w:val="2"/>
      <w:numFmt w:val="upperRoman"/>
      <w:lvlText w:val="%1"/>
      <w:lvlJc w:val="left"/>
      <w:pPr>
        <w:ind w:left="2409" w:hanging="176"/>
      </w:pPr>
      <w:rPr>
        <w:rFonts w:ascii="Times New Roman" w:eastAsia="Arial MT" w:hAnsi="Times New Roman" w:cs="Times New Roman" w:hint="default"/>
        <w:w w:val="100"/>
        <w:sz w:val="20"/>
        <w:szCs w:val="20"/>
        <w:lang w:val="pt-PT" w:eastAsia="en-US" w:bidi="ar-SA"/>
      </w:rPr>
    </w:lvl>
    <w:lvl w:ilvl="1" w:tplc="C5D282A2">
      <w:numFmt w:val="bullet"/>
      <w:lvlText w:val="•"/>
      <w:lvlJc w:val="left"/>
      <w:pPr>
        <w:ind w:left="3122" w:hanging="176"/>
      </w:pPr>
      <w:rPr>
        <w:lang w:val="pt-PT" w:eastAsia="en-US" w:bidi="ar-SA"/>
      </w:rPr>
    </w:lvl>
    <w:lvl w:ilvl="2" w:tplc="166CA282">
      <w:numFmt w:val="bullet"/>
      <w:lvlText w:val="•"/>
      <w:lvlJc w:val="left"/>
      <w:pPr>
        <w:ind w:left="3845" w:hanging="176"/>
      </w:pPr>
      <w:rPr>
        <w:lang w:val="pt-PT" w:eastAsia="en-US" w:bidi="ar-SA"/>
      </w:rPr>
    </w:lvl>
    <w:lvl w:ilvl="3" w:tplc="E3DAA2F6">
      <w:numFmt w:val="bullet"/>
      <w:lvlText w:val="•"/>
      <w:lvlJc w:val="left"/>
      <w:pPr>
        <w:ind w:left="4568" w:hanging="176"/>
      </w:pPr>
      <w:rPr>
        <w:lang w:val="pt-PT" w:eastAsia="en-US" w:bidi="ar-SA"/>
      </w:rPr>
    </w:lvl>
    <w:lvl w:ilvl="4" w:tplc="3E6C3494">
      <w:numFmt w:val="bullet"/>
      <w:lvlText w:val="•"/>
      <w:lvlJc w:val="left"/>
      <w:pPr>
        <w:ind w:left="5291" w:hanging="176"/>
      </w:pPr>
      <w:rPr>
        <w:lang w:val="pt-PT" w:eastAsia="en-US" w:bidi="ar-SA"/>
      </w:rPr>
    </w:lvl>
    <w:lvl w:ilvl="5" w:tplc="A40E2CAC">
      <w:numFmt w:val="bullet"/>
      <w:lvlText w:val="•"/>
      <w:lvlJc w:val="left"/>
      <w:pPr>
        <w:ind w:left="6014" w:hanging="176"/>
      </w:pPr>
      <w:rPr>
        <w:lang w:val="pt-PT" w:eastAsia="en-US" w:bidi="ar-SA"/>
      </w:rPr>
    </w:lvl>
    <w:lvl w:ilvl="6" w:tplc="429E0C56">
      <w:numFmt w:val="bullet"/>
      <w:lvlText w:val="•"/>
      <w:lvlJc w:val="left"/>
      <w:pPr>
        <w:ind w:left="6736" w:hanging="176"/>
      </w:pPr>
      <w:rPr>
        <w:lang w:val="pt-PT" w:eastAsia="en-US" w:bidi="ar-SA"/>
      </w:rPr>
    </w:lvl>
    <w:lvl w:ilvl="7" w:tplc="9DD0DC9E">
      <w:numFmt w:val="bullet"/>
      <w:lvlText w:val="•"/>
      <w:lvlJc w:val="left"/>
      <w:pPr>
        <w:ind w:left="7459" w:hanging="176"/>
      </w:pPr>
      <w:rPr>
        <w:lang w:val="pt-PT" w:eastAsia="en-US" w:bidi="ar-SA"/>
      </w:rPr>
    </w:lvl>
    <w:lvl w:ilvl="8" w:tplc="4D960C14">
      <w:numFmt w:val="bullet"/>
      <w:lvlText w:val="•"/>
      <w:lvlJc w:val="left"/>
      <w:pPr>
        <w:ind w:left="8182" w:hanging="176"/>
      </w:pPr>
      <w:rPr>
        <w:lang w:val="pt-PT" w:eastAsia="en-US" w:bidi="ar-SA"/>
      </w:rPr>
    </w:lvl>
  </w:abstractNum>
  <w:abstractNum w:abstractNumId="20">
    <w:nsid w:val="4E4A296D"/>
    <w:multiLevelType w:val="hybridMultilevel"/>
    <w:tmpl w:val="FF26E8B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0A22A2B"/>
    <w:multiLevelType w:val="hybridMultilevel"/>
    <w:tmpl w:val="1BD62356"/>
    <w:lvl w:ilvl="0" w:tplc="1C3CA606">
      <w:start w:val="1"/>
      <w:numFmt w:val="upperRoman"/>
      <w:lvlText w:val="%1)"/>
      <w:lvlJc w:val="left"/>
      <w:pPr>
        <w:ind w:left="3555" w:hanging="720"/>
      </w:pPr>
      <w:rPr>
        <w:rFonts w:hint="default"/>
        <w:i w:val="0"/>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2">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nsid w:val="54E235EF"/>
    <w:multiLevelType w:val="hybridMultilevel"/>
    <w:tmpl w:val="B2DADB1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24">
    <w:nsid w:val="57174422"/>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546255"/>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C515FE"/>
    <w:multiLevelType w:val="hybridMultilevel"/>
    <w:tmpl w:val="65DC401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nsid w:val="5E1345D3"/>
    <w:multiLevelType w:val="hybridMultilevel"/>
    <w:tmpl w:val="9956E75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28">
    <w:nsid w:val="5EDD2083"/>
    <w:multiLevelType w:val="hybridMultilevel"/>
    <w:tmpl w:val="CC6CBF14"/>
    <w:lvl w:ilvl="0" w:tplc="DE561F12">
      <w:start w:val="1"/>
      <w:numFmt w:val="decimal"/>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17521A7"/>
    <w:multiLevelType w:val="hybridMultilevel"/>
    <w:tmpl w:val="79867D1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30">
    <w:nsid w:val="619A23B6"/>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nsid w:val="654A2209"/>
    <w:multiLevelType w:val="hybridMultilevel"/>
    <w:tmpl w:val="DD52368E"/>
    <w:lvl w:ilvl="0" w:tplc="2F4C0312">
      <w:start w:val="1"/>
      <w:numFmt w:val="lowerLetter"/>
      <w:lvlText w:val="%1)"/>
      <w:lvlJc w:val="left"/>
      <w:pPr>
        <w:ind w:left="2409" w:hanging="280"/>
      </w:pPr>
      <w:rPr>
        <w:rFonts w:ascii="Arial MT" w:eastAsia="Arial MT" w:hAnsi="Arial MT" w:cs="Arial MT" w:hint="default"/>
        <w:w w:val="99"/>
        <w:sz w:val="20"/>
        <w:szCs w:val="20"/>
        <w:lang w:val="pt-PT" w:eastAsia="en-US" w:bidi="ar-SA"/>
      </w:rPr>
    </w:lvl>
    <w:lvl w:ilvl="1" w:tplc="332EFC0A">
      <w:numFmt w:val="bullet"/>
      <w:lvlText w:val="•"/>
      <w:lvlJc w:val="left"/>
      <w:pPr>
        <w:ind w:left="3122" w:hanging="280"/>
      </w:pPr>
      <w:rPr>
        <w:lang w:val="pt-PT" w:eastAsia="en-US" w:bidi="ar-SA"/>
      </w:rPr>
    </w:lvl>
    <w:lvl w:ilvl="2" w:tplc="9D2E59F4">
      <w:numFmt w:val="bullet"/>
      <w:lvlText w:val="•"/>
      <w:lvlJc w:val="left"/>
      <w:pPr>
        <w:ind w:left="3845" w:hanging="280"/>
      </w:pPr>
      <w:rPr>
        <w:lang w:val="pt-PT" w:eastAsia="en-US" w:bidi="ar-SA"/>
      </w:rPr>
    </w:lvl>
    <w:lvl w:ilvl="3" w:tplc="501CC7D8">
      <w:numFmt w:val="bullet"/>
      <w:lvlText w:val="•"/>
      <w:lvlJc w:val="left"/>
      <w:pPr>
        <w:ind w:left="4568" w:hanging="280"/>
      </w:pPr>
      <w:rPr>
        <w:lang w:val="pt-PT" w:eastAsia="en-US" w:bidi="ar-SA"/>
      </w:rPr>
    </w:lvl>
    <w:lvl w:ilvl="4" w:tplc="20E084BC">
      <w:numFmt w:val="bullet"/>
      <w:lvlText w:val="•"/>
      <w:lvlJc w:val="left"/>
      <w:pPr>
        <w:ind w:left="5291" w:hanging="280"/>
      </w:pPr>
      <w:rPr>
        <w:lang w:val="pt-PT" w:eastAsia="en-US" w:bidi="ar-SA"/>
      </w:rPr>
    </w:lvl>
    <w:lvl w:ilvl="5" w:tplc="C84CB0CE">
      <w:numFmt w:val="bullet"/>
      <w:lvlText w:val="•"/>
      <w:lvlJc w:val="left"/>
      <w:pPr>
        <w:ind w:left="6014" w:hanging="280"/>
      </w:pPr>
      <w:rPr>
        <w:lang w:val="pt-PT" w:eastAsia="en-US" w:bidi="ar-SA"/>
      </w:rPr>
    </w:lvl>
    <w:lvl w:ilvl="6" w:tplc="3ADEC5FE">
      <w:numFmt w:val="bullet"/>
      <w:lvlText w:val="•"/>
      <w:lvlJc w:val="left"/>
      <w:pPr>
        <w:ind w:left="6736" w:hanging="280"/>
      </w:pPr>
      <w:rPr>
        <w:lang w:val="pt-PT" w:eastAsia="en-US" w:bidi="ar-SA"/>
      </w:rPr>
    </w:lvl>
    <w:lvl w:ilvl="7" w:tplc="431E37D6">
      <w:numFmt w:val="bullet"/>
      <w:lvlText w:val="•"/>
      <w:lvlJc w:val="left"/>
      <w:pPr>
        <w:ind w:left="7459" w:hanging="280"/>
      </w:pPr>
      <w:rPr>
        <w:lang w:val="pt-PT" w:eastAsia="en-US" w:bidi="ar-SA"/>
      </w:rPr>
    </w:lvl>
    <w:lvl w:ilvl="8" w:tplc="803C0DD0">
      <w:numFmt w:val="bullet"/>
      <w:lvlText w:val="•"/>
      <w:lvlJc w:val="left"/>
      <w:pPr>
        <w:ind w:left="8182" w:hanging="280"/>
      </w:pPr>
      <w:rPr>
        <w:lang w:val="pt-PT" w:eastAsia="en-US" w:bidi="ar-SA"/>
      </w:rPr>
    </w:lvl>
  </w:abstractNum>
  <w:abstractNum w:abstractNumId="32">
    <w:nsid w:val="66C44634"/>
    <w:multiLevelType w:val="hybridMultilevel"/>
    <w:tmpl w:val="1BD62356"/>
    <w:lvl w:ilvl="0" w:tplc="1C3CA606">
      <w:start w:val="1"/>
      <w:numFmt w:val="upperRoman"/>
      <w:lvlText w:val="%1)"/>
      <w:lvlJc w:val="left"/>
      <w:pPr>
        <w:ind w:left="3555" w:hanging="720"/>
      </w:pPr>
      <w:rPr>
        <w:rFonts w:hint="default"/>
        <w:i w:val="0"/>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33">
    <w:nsid w:val="6FAA248E"/>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60C7659"/>
    <w:multiLevelType w:val="multilevel"/>
    <w:tmpl w:val="42147B78"/>
    <w:lvl w:ilvl="0">
      <w:start w:val="1"/>
      <w:numFmt w:val="bullet"/>
      <w:lvlText w:val=""/>
      <w:lvlJc w:val="left"/>
      <w:pPr>
        <w:tabs>
          <w:tab w:val="num" w:pos="720"/>
        </w:tabs>
        <w:ind w:left="720" w:hanging="360"/>
      </w:pPr>
      <w:rPr>
        <w:rFonts w:ascii="Symbol" w:hAnsi="Symbol" w:hint="default"/>
      </w:rPr>
    </w:lvl>
    <w:lvl w:ilvl="1">
      <w:start w:val="1"/>
      <w:numFmt w:val="upp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7781696"/>
    <w:multiLevelType w:val="hybridMultilevel"/>
    <w:tmpl w:val="791EF11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36">
    <w:nsid w:val="78BD47DF"/>
    <w:multiLevelType w:val="hybridMultilevel"/>
    <w:tmpl w:val="D1A427D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E98534C"/>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nsid w:val="7FF643DF"/>
    <w:multiLevelType w:val="multilevel"/>
    <w:tmpl w:val="737E10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9"/>
  </w:num>
  <w:num w:numId="3">
    <w:abstractNumId w:val="14"/>
  </w:num>
  <w:num w:numId="4">
    <w:abstractNumId w:val="1"/>
  </w:num>
  <w:num w:numId="5">
    <w:abstractNumId w:val="31"/>
    <w:lvlOverride w:ilvl="0">
      <w:startOverride w:val="1"/>
    </w:lvlOverride>
    <w:lvlOverride w:ilvl="1"/>
    <w:lvlOverride w:ilvl="2"/>
    <w:lvlOverride w:ilvl="3"/>
    <w:lvlOverride w:ilvl="4"/>
    <w:lvlOverride w:ilvl="5"/>
    <w:lvlOverride w:ilvl="6"/>
    <w:lvlOverride w:ilvl="7"/>
    <w:lvlOverride w:ilvl="8"/>
  </w:num>
  <w:num w:numId="6">
    <w:abstractNumId w:val="19"/>
    <w:lvlOverride w:ilvl="0">
      <w:startOverride w:val="2"/>
    </w:lvlOverride>
    <w:lvlOverride w:ilvl="1"/>
    <w:lvlOverride w:ilvl="2"/>
    <w:lvlOverride w:ilvl="3"/>
    <w:lvlOverride w:ilvl="4"/>
    <w:lvlOverride w:ilvl="5"/>
    <w:lvlOverride w:ilvl="6"/>
    <w:lvlOverride w:ilvl="7"/>
    <w:lvlOverride w:ilvl="8"/>
  </w:num>
  <w:num w:numId="7">
    <w:abstractNumId w:val="0"/>
  </w:num>
  <w:num w:numId="8">
    <w:abstractNumId w:val="4"/>
  </w:num>
  <w:num w:numId="9">
    <w:abstractNumId w:val="28"/>
  </w:num>
  <w:num w:numId="10">
    <w:abstractNumId w:val="7"/>
  </w:num>
  <w:num w:numId="11">
    <w:abstractNumId w:val="26"/>
  </w:num>
  <w:num w:numId="12">
    <w:abstractNumId w:val="3"/>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 w:numId="17">
    <w:abstractNumId w:val="38"/>
  </w:num>
  <w:num w:numId="18">
    <w:abstractNumId w:val="22"/>
  </w:num>
  <w:num w:numId="19">
    <w:abstractNumId w:val="6"/>
  </w:num>
  <w:num w:numId="20">
    <w:abstractNumId w:val="21"/>
  </w:num>
  <w:num w:numId="21">
    <w:abstractNumId w:val="32"/>
  </w:num>
  <w:num w:numId="22">
    <w:abstractNumId w:val="36"/>
  </w:num>
  <w:num w:numId="23">
    <w:abstractNumId w:val="15"/>
  </w:num>
  <w:num w:numId="24">
    <w:abstractNumId w:val="18"/>
  </w:num>
  <w:num w:numId="25">
    <w:abstractNumId w:val="25"/>
  </w:num>
  <w:num w:numId="26">
    <w:abstractNumId w:val="24"/>
  </w:num>
  <w:num w:numId="27">
    <w:abstractNumId w:val="39"/>
  </w:num>
  <w:num w:numId="28">
    <w:abstractNumId w:val="33"/>
  </w:num>
  <w:num w:numId="29">
    <w:abstractNumId w:val="17"/>
  </w:num>
  <w:num w:numId="30">
    <w:abstractNumId w:val="34"/>
  </w:num>
  <w:num w:numId="31">
    <w:abstractNumId w:val="13"/>
  </w:num>
  <w:num w:numId="32">
    <w:abstractNumId w:val="23"/>
  </w:num>
  <w:num w:numId="33">
    <w:abstractNumId w:val="35"/>
  </w:num>
  <w:num w:numId="34">
    <w:abstractNumId w:val="8"/>
  </w:num>
  <w:num w:numId="35">
    <w:abstractNumId w:val="29"/>
  </w:num>
  <w:num w:numId="36">
    <w:abstractNumId w:val="27"/>
  </w:num>
  <w:num w:numId="37">
    <w:abstractNumId w:val="20"/>
  </w:num>
  <w:num w:numId="38">
    <w:abstractNumId w:val="9"/>
    <w:lvlOverride w:ilvl="0">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30"/>
  </w:num>
  <w:num w:numId="46">
    <w:abstractNumId w:val="16"/>
  </w:num>
  <w:num w:numId="47">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F69BAE-031D-4BDB-80B0-BEF8BF4D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Ttulo1">
    <w:name w:val="heading 1"/>
    <w:basedOn w:val="Normal"/>
    <w:next w:val="Normal"/>
    <w:link w:val="Ttulo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5">
    <w:name w:val="heading 5"/>
    <w:basedOn w:val="Normal"/>
    <w:next w:val="Normal"/>
    <w:link w:val="Ttulo5Char"/>
    <w:qFormat/>
    <w:pPr>
      <w:keepNext/>
      <w:numPr>
        <w:ilvl w:val="4"/>
        <w:numId w:val="7"/>
      </w:numPr>
      <w:suppressAutoHyphens w:val="0"/>
      <w:spacing w:line="360" w:lineRule="auto"/>
      <w:jc w:val="both"/>
      <w:outlineLvl w:val="4"/>
    </w:pPr>
    <w:rPr>
      <w:rFonts w:ascii="Arial" w:eastAsia="Lucida Sans Unicode" w:hAnsi="Arial" w:cs="StarSymbol"/>
      <w:b/>
      <w:noProof/>
      <w:sz w:val="23"/>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 Char,Char,Cabeçalho superior,Heading 1a,h,he,HeaderNN,Ofício Circular,hd,Cabeçalho1"/>
    <w:basedOn w:val="Normal"/>
    <w:link w:val="CabealhoChar"/>
    <w:uiPriority w:val="99"/>
    <w:unhideWhenUsed/>
    <w:pPr>
      <w:tabs>
        <w:tab w:val="center" w:pos="4252"/>
        <w:tab w:val="right" w:pos="8504"/>
      </w:tabs>
      <w:suppressAutoHyphens w:val="0"/>
      <w:spacing w:after="200" w:line="276" w:lineRule="auto"/>
    </w:pPr>
    <w:rPr>
      <w:rFonts w:ascii="Calibri" w:eastAsia="Calibri" w:hAnsi="Calibri"/>
      <w:sz w:val="22"/>
      <w:szCs w:val="22"/>
      <w:lang w:eastAsia="en-US"/>
    </w:rPr>
  </w:style>
  <w:style w:type="character" w:customStyle="1" w:styleId="CabealhoChar">
    <w:name w:val="Cabeçalho Char"/>
    <w:aliases w:val="encabezado Char, Char Char,Char Char,Cabeçalho superior Char,Heading 1a Char,h Char,he Char,HeaderNN Char,Ofício Circular Char,hd Char,Cabeçalho1 Char"/>
    <w:basedOn w:val="Fontepargpadro"/>
    <w:link w:val="Cabealho"/>
    <w:uiPriority w:val="99"/>
    <w:rPr>
      <w:rFonts w:ascii="Calibri" w:eastAsia="Calibri" w:hAnsi="Calibri" w:cs="Times New Roman"/>
      <w:kern w:val="0"/>
      <w14:ligatures w14:val="none"/>
    </w:rPr>
  </w:style>
  <w:style w:type="paragraph" w:styleId="Rodap">
    <w:name w:val="footer"/>
    <w:basedOn w:val="Normal"/>
    <w:link w:val="RodapChar"/>
    <w:unhideWhenUsed/>
    <w:pPr>
      <w:tabs>
        <w:tab w:val="center" w:pos="4252"/>
        <w:tab w:val="right" w:pos="8504"/>
      </w:tabs>
    </w:pPr>
  </w:style>
  <w:style w:type="character" w:customStyle="1" w:styleId="RodapChar">
    <w:name w:val="Rodapé Char"/>
    <w:basedOn w:val="Fontepargpadro"/>
    <w:link w:val="Rodap"/>
    <w:rPr>
      <w:rFonts w:ascii="Times New Roman" w:eastAsia="Times New Roman" w:hAnsi="Times New Roman" w:cs="Times New Roman"/>
      <w:kern w:val="0"/>
      <w:sz w:val="20"/>
      <w:szCs w:val="20"/>
      <w:lang w:eastAsia="ar-SA"/>
      <w14:ligatures w14:val="none"/>
    </w:rPr>
  </w:style>
  <w:style w:type="table" w:styleId="Tabelacomgrade">
    <w:name w:val="Table Grid"/>
    <w:basedOn w:val="Tabelanormal"/>
    <w:uiPriority w:val="39"/>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body"/>
    <w:basedOn w:val="Normal"/>
    <w:pPr>
      <w:suppressAutoHyphens w:val="0"/>
      <w:spacing w:before="100" w:beforeAutospacing="1" w:after="100" w:afterAutospacing="1"/>
    </w:pPr>
    <w:rPr>
      <w:sz w:val="24"/>
      <w:szCs w:val="24"/>
      <w:lang w:eastAsia="pt-BR"/>
    </w:rPr>
  </w:style>
  <w:style w:type="paragraph" w:styleId="PargrafodaLista">
    <w:name w:val="List Paragraph"/>
    <w:basedOn w:val="Normal"/>
    <w:link w:val="PargrafodaListaChar"/>
    <w:uiPriority w:val="34"/>
    <w:qFormat/>
    <w:pPr>
      <w:suppressAutoHyphens w:val="0"/>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basedOn w:val="Fontepargpadro"/>
    <w:link w:val="PargrafodaLista"/>
    <w:uiPriority w:val="34"/>
    <w:rPr>
      <w:rFonts w:ascii="Calibri" w:eastAsia="Calibri" w:hAnsi="Calibri" w:cs="Times New Roman"/>
      <w:kern w:val="0"/>
      <w14:ligatures w14:val="non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kern w:val="0"/>
      <w:sz w:val="32"/>
      <w:szCs w:val="32"/>
      <w:lang w:eastAsia="ar-SA"/>
      <w14:ligatures w14:val="none"/>
    </w:rPr>
  </w:style>
  <w:style w:type="paragraph" w:customStyle="1" w:styleId="WW-NormalWeb">
    <w:name w:val="WW-Normal (Web)"/>
    <w:basedOn w:val="Normal"/>
    <w:pPr>
      <w:spacing w:before="100" w:after="100"/>
    </w:pPr>
    <w:rPr>
      <w:rFonts w:ascii="Arial" w:hAnsi="Arial" w:cs="Arial"/>
      <w:sz w:val="24"/>
      <w:lang w:eastAsia="zh-CN"/>
    </w:rPr>
  </w:style>
  <w:style w:type="paragraph" w:customStyle="1" w:styleId="Pregaoquadromiolo">
    <w:name w:val="Pregao quadro miolo"/>
    <w:basedOn w:val="Normal"/>
    <w:pPr>
      <w:suppressAutoHyphens w:val="0"/>
      <w:spacing w:line="260" w:lineRule="exact"/>
    </w:pPr>
    <w:rPr>
      <w:rFonts w:ascii="Arial" w:hAnsi="Arial" w:cs="Arial"/>
      <w:szCs w:val="24"/>
      <w:lang w:eastAsia="pt-BR"/>
    </w:rPr>
  </w:style>
  <w:style w:type="character" w:styleId="Hyperlink">
    <w:name w:val="Hyperlink"/>
    <w:rPr>
      <w:color w:val="000080"/>
      <w:u w:val="single"/>
    </w:rPr>
  </w:style>
  <w:style w:type="paragraph" w:styleId="Textodecomentrio">
    <w:name w:val="annotation text"/>
    <w:basedOn w:val="Normal"/>
    <w:link w:val="TextodecomentrioChar"/>
    <w:uiPriority w:val="99"/>
    <w:unhideWhenUsed/>
    <w:qFormat/>
    <w:pPr>
      <w:suppressAutoHyphens w:val="0"/>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kern w:val="0"/>
      <w:sz w:val="20"/>
      <w:szCs w:val="20"/>
      <w:lang w:eastAsia="pt-BR"/>
      <w14:ligatures w14:val="none"/>
    </w:rPr>
  </w:style>
  <w:style w:type="paragraph" w:customStyle="1" w:styleId="Nvel2-Red">
    <w:name w:val="Nível 2 -Red"/>
    <w:basedOn w:val="Normal"/>
    <w:link w:val="Nvel2-RedChar"/>
    <w:qFormat/>
    <w:pPr>
      <w:numPr>
        <w:ilvl w:val="1"/>
        <w:numId w:val="1"/>
      </w:numPr>
      <w:suppressAutoHyphens w:val="0"/>
      <w:spacing w:before="120" w:after="120" w:line="276" w:lineRule="auto"/>
      <w:ind w:left="0" w:firstLine="0"/>
      <w:jc w:val="both"/>
    </w:pPr>
    <w:rPr>
      <w:rFonts w:ascii="Arial" w:eastAsiaTheme="minorEastAsia" w:hAnsi="Arial" w:cs="Arial"/>
      <w:i/>
      <w:iCs/>
      <w:color w:val="FF0000"/>
      <w:lang w:eastAsia="pt-BR"/>
    </w:rPr>
  </w:style>
  <w:style w:type="paragraph" w:customStyle="1" w:styleId="Nvel3-R">
    <w:name w:val="Nível 3-R"/>
    <w:basedOn w:val="Normal"/>
    <w:link w:val="Nvel3-RChar"/>
    <w:qFormat/>
    <w:pPr>
      <w:numPr>
        <w:ilvl w:val="2"/>
        <w:numId w:val="1"/>
      </w:numPr>
      <w:suppressAutoHyphens w:val="0"/>
      <w:spacing w:before="120" w:after="120" w:line="276" w:lineRule="auto"/>
      <w:ind w:left="425" w:firstLine="0"/>
      <w:jc w:val="both"/>
    </w:pPr>
    <w:rPr>
      <w:rFonts w:ascii="Arial" w:eastAsiaTheme="minorEastAsia" w:hAnsi="Arial" w:cs="Arial"/>
      <w:i/>
      <w:iCs/>
      <w:color w:val="FF0000"/>
      <w:lang w:eastAsia="pt-BR"/>
    </w:rPr>
  </w:style>
  <w:style w:type="character" w:styleId="Refdecomentrio">
    <w:name w:val="annotation reference"/>
    <w:basedOn w:val="Fontepargpadro"/>
    <w:unhideWhenUsed/>
    <w:qFormat/>
    <w:rPr>
      <w:sz w:val="16"/>
      <w:szCs w:val="16"/>
    </w:rPr>
  </w:style>
  <w:style w:type="paragraph" w:customStyle="1" w:styleId="Nivel01">
    <w:name w:val="Nivel 01"/>
    <w:basedOn w:val="Ttulo1"/>
    <w:next w:val="Normal"/>
    <w:link w:val="Nivel01Char"/>
    <w:qFormat/>
    <w:pPr>
      <w:numPr>
        <w:numId w:val="2"/>
      </w:numPr>
      <w:tabs>
        <w:tab w:val="left" w:pos="567"/>
      </w:tabs>
      <w:suppressAutoHyphens w:val="0"/>
      <w:jc w:val="both"/>
    </w:pPr>
    <w:rPr>
      <w:rFonts w:ascii="Arial" w:hAnsi="Arial" w:cs="Arial"/>
      <w:b/>
      <w:bCs/>
      <w:color w:val="auto"/>
      <w:sz w:val="20"/>
      <w:szCs w:val="20"/>
      <w:lang w:eastAsia="pt-BR"/>
    </w:rPr>
  </w:style>
  <w:style w:type="character" w:customStyle="1" w:styleId="Nivel01Char">
    <w:name w:val="Nivel 01 Char"/>
    <w:basedOn w:val="Fontepargpadro"/>
    <w:link w:val="Nivel01"/>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pPr>
      <w:numPr>
        <w:ilvl w:val="1"/>
        <w:numId w:val="2"/>
      </w:numPr>
      <w:suppressAutoHyphens w:val="0"/>
      <w:spacing w:before="120" w:after="120" w:line="276" w:lineRule="auto"/>
      <w:ind w:left="0" w:firstLine="0"/>
      <w:jc w:val="both"/>
    </w:pPr>
    <w:rPr>
      <w:rFonts w:ascii="Arial" w:eastAsiaTheme="minorEastAsia" w:hAnsi="Arial" w:cs="Arial"/>
      <w:color w:val="000000"/>
      <w:lang w:eastAsia="pt-BR"/>
    </w:rPr>
  </w:style>
  <w:style w:type="paragraph" w:customStyle="1" w:styleId="Nivel3">
    <w:name w:val="Nivel 3"/>
    <w:basedOn w:val="Normal"/>
    <w:link w:val="Nivel3Char"/>
    <w:qFormat/>
    <w:pPr>
      <w:numPr>
        <w:ilvl w:val="2"/>
        <w:numId w:val="2"/>
      </w:numPr>
      <w:suppressAutoHyphens w:val="0"/>
      <w:spacing w:before="120" w:after="120" w:line="276" w:lineRule="auto"/>
      <w:ind w:left="425" w:firstLine="0"/>
      <w:jc w:val="both"/>
    </w:pPr>
    <w:rPr>
      <w:rFonts w:ascii="Arial" w:eastAsiaTheme="minorEastAsia" w:hAnsi="Arial" w:cs="Arial"/>
      <w:color w:val="000000"/>
      <w:lang w:eastAsia="pt-BR"/>
    </w:rPr>
  </w:style>
  <w:style w:type="paragraph" w:customStyle="1" w:styleId="Nivel4">
    <w:name w:val="Nivel 4"/>
    <w:basedOn w:val="Nivel3"/>
    <w:link w:val="Nivel4Char"/>
    <w:qFormat/>
    <w:pPr>
      <w:numPr>
        <w:ilvl w:val="3"/>
      </w:numPr>
      <w:ind w:left="851" w:firstLine="0"/>
    </w:pPr>
    <w:rPr>
      <w:color w:val="auto"/>
    </w:rPr>
  </w:style>
  <w:style w:type="paragraph" w:customStyle="1" w:styleId="Nivel5">
    <w:name w:val="Nivel 5"/>
    <w:basedOn w:val="Nivel4"/>
    <w:qFormat/>
    <w:pPr>
      <w:numPr>
        <w:ilvl w:val="4"/>
      </w:numPr>
      <w:ind w:left="1276" w:firstLine="0"/>
    </w:pPr>
  </w:style>
  <w:style w:type="character" w:customStyle="1" w:styleId="Nivel2Char">
    <w:name w:val="Nivel 2 Char"/>
    <w:basedOn w:val="Fontepargpadro"/>
    <w:link w:val="Nivel2"/>
    <w:locked/>
    <w:rPr>
      <w:rFonts w:ascii="Arial" w:eastAsiaTheme="minorEastAsia" w:hAnsi="Arial" w:cs="Arial"/>
      <w:color w:val="000000"/>
      <w:kern w:val="0"/>
      <w:sz w:val="20"/>
      <w:szCs w:val="20"/>
      <w:lang w:eastAsia="pt-BR"/>
      <w14:ligatures w14:val="none"/>
    </w:rPr>
  </w:style>
  <w:style w:type="character" w:customStyle="1" w:styleId="Nvel2-RedChar">
    <w:name w:val="Nível 2 -Red Char"/>
    <w:basedOn w:val="Nivel2Char"/>
    <w:link w:val="Nvel2-Red"/>
    <w:rPr>
      <w:rFonts w:ascii="Arial" w:eastAsiaTheme="minorEastAsia" w:hAnsi="Arial" w:cs="Arial"/>
      <w:i/>
      <w:iCs/>
      <w:color w:val="FF0000"/>
      <w:kern w:val="0"/>
      <w:sz w:val="20"/>
      <w:szCs w:val="20"/>
      <w:lang w:eastAsia="pt-BR"/>
      <w14:ligatures w14:val="none"/>
    </w:rPr>
  </w:style>
  <w:style w:type="character" w:customStyle="1" w:styleId="Nivel3Char">
    <w:name w:val="Nivel 3 Char"/>
    <w:basedOn w:val="Fontepargpadro"/>
    <w:link w:val="Nivel3"/>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rPr>
      <w:rFonts w:ascii="Arial" w:eastAsiaTheme="minorEastAsia" w:hAnsi="Arial" w:cs="Arial"/>
      <w:kern w:val="0"/>
      <w:sz w:val="20"/>
      <w:szCs w:val="20"/>
      <w:lang w:eastAsia="pt-BR"/>
      <w14:ligatures w14:val="none"/>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Pr>
      <w:rFonts w:ascii="Arial" w:eastAsia="Calibri" w:hAnsi="Arial" w:cs="Arial"/>
      <w:b/>
      <w:bCs/>
      <w:i/>
      <w:iCs/>
      <w:color w:val="FF0000"/>
      <w:kern w:val="0"/>
      <w:sz w:val="24"/>
      <w:szCs w:val="24"/>
      <w:u w:val="single"/>
      <w:lang w:eastAsia="pt-BR"/>
      <w14:ligatures w14:val="none"/>
    </w:rPr>
  </w:style>
  <w:style w:type="character" w:customStyle="1" w:styleId="Nvel3-RChar">
    <w:name w:val="Nível 3-R Char"/>
    <w:basedOn w:val="Nivel3Char"/>
    <w:link w:val="Nvel3-R"/>
    <w:rPr>
      <w:rFonts w:ascii="Arial" w:eastAsiaTheme="minorEastAsia" w:hAnsi="Arial" w:cs="Arial"/>
      <w:i/>
      <w:iCs/>
      <w:color w:val="FF0000"/>
      <w:kern w:val="0"/>
      <w:sz w:val="20"/>
      <w:szCs w:val="20"/>
      <w:lang w:eastAsia="pt-BR"/>
      <w14:ligatures w14:val="none"/>
    </w:rPr>
  </w:style>
  <w:style w:type="paragraph" w:styleId="NormalWeb">
    <w:name w:val="Normal (Web)"/>
    <w:basedOn w:val="Normal"/>
    <w:uiPriority w:val="99"/>
    <w:unhideWhenUsed/>
    <w:pPr>
      <w:suppressAutoHyphens w:val="0"/>
      <w:spacing w:before="100" w:beforeAutospacing="1" w:after="100" w:afterAutospacing="1"/>
    </w:pPr>
    <w:rPr>
      <w:sz w:val="24"/>
      <w:szCs w:val="24"/>
      <w:lang w:eastAsia="pt-BR"/>
    </w:rPr>
  </w:style>
  <w:style w:type="paragraph" w:customStyle="1" w:styleId="Nvel4">
    <w:name w:val="Nível 4"/>
    <w:basedOn w:val="Normal"/>
    <w:qFormat/>
    <w:pPr>
      <w:suppressAutoHyphens w:val="0"/>
      <w:spacing w:before="120" w:after="120" w:line="276" w:lineRule="auto"/>
      <w:ind w:left="567"/>
      <w:jc w:val="both"/>
    </w:pPr>
    <w:rPr>
      <w:rFonts w:ascii="Arial" w:hAnsi="Arial" w:cs="Arial"/>
      <w:lang w:eastAsia="pt-BR"/>
    </w:rPr>
  </w:style>
  <w:style w:type="paragraph" w:styleId="SemEspaamento">
    <w:name w:val="No Spacing"/>
    <w:uiPriority w:val="1"/>
    <w:qFormat/>
    <w:pPr>
      <w:spacing w:after="0" w:line="240" w:lineRule="auto"/>
    </w:pPr>
    <w:rPr>
      <w:rFonts w:ascii="Calibri" w:eastAsia="Calibri" w:hAnsi="Calibri" w:cs="Times New Roman"/>
      <w:kern w:val="0"/>
      <w14:ligatures w14:val="none"/>
    </w:rPr>
  </w:style>
  <w:style w:type="character" w:styleId="Forte">
    <w:name w:val="Strong"/>
    <w:uiPriority w:val="22"/>
    <w:qFormat/>
    <w:rPr>
      <w:rFonts w:ascii="Verdana" w:hAnsi="Verdana" w:hint="default"/>
      <w:b w:val="0"/>
      <w:bCs w:val="0"/>
      <w:sz w:val="18"/>
    </w:rPr>
  </w:style>
  <w:style w:type="character" w:customStyle="1" w:styleId="MenoPendente1">
    <w:name w:val="Menção Pendente1"/>
    <w:basedOn w:val="Fontepargpadro"/>
    <w:uiPriority w:val="99"/>
    <w:semiHidden/>
    <w:unhideWhenUsed/>
    <w:rPr>
      <w:color w:val="605E5C"/>
      <w:shd w:val="clear" w:color="auto" w:fill="E1DFDD"/>
    </w:rPr>
  </w:style>
  <w:style w:type="table" w:customStyle="1" w:styleId="TableNormal">
    <w:name w:val="Table Normal"/>
    <w:uiPriority w:val="2"/>
    <w:semiHidden/>
    <w:unhideWhenUsed/>
    <w:qFormat/>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uppressAutoHyphens w:val="0"/>
      <w:autoSpaceDE w:val="0"/>
      <w:autoSpaceDN w:val="0"/>
      <w:spacing w:before="35"/>
      <w:jc w:val="right"/>
    </w:pPr>
    <w:rPr>
      <w:rFonts w:ascii="Arial MT" w:eastAsia="Arial MT" w:hAnsi="Arial MT" w:cs="Arial MT"/>
      <w:sz w:val="22"/>
      <w:szCs w:val="22"/>
      <w:lang w:val="pt-PT" w:eastAsia="en-US"/>
    </w:rPr>
  </w:style>
  <w:style w:type="paragraph" w:styleId="Corpodetexto">
    <w:name w:val="Body Text"/>
    <w:basedOn w:val="Normal"/>
    <w:link w:val="CorpodetextoChar"/>
    <w:uiPriority w:val="1"/>
    <w:qFormat/>
    <w:pPr>
      <w:widowControl w:val="0"/>
      <w:suppressAutoHyphens w:val="0"/>
      <w:autoSpaceDE w:val="0"/>
      <w:autoSpaceDN w:val="0"/>
    </w:pPr>
    <w:rPr>
      <w:sz w:val="24"/>
      <w:szCs w:val="24"/>
      <w:lang w:val="pt-PT" w:eastAsia="en-US"/>
    </w:rPr>
  </w:style>
  <w:style w:type="character" w:customStyle="1" w:styleId="CorpodetextoChar">
    <w:name w:val="Corpo de texto Char"/>
    <w:basedOn w:val="Fontepargpadro"/>
    <w:link w:val="Corpodetexto"/>
    <w:uiPriority w:val="1"/>
    <w:rPr>
      <w:rFonts w:ascii="Times New Roman" w:eastAsia="Times New Roman" w:hAnsi="Times New Roman" w:cs="Times New Roman"/>
      <w:kern w:val="0"/>
      <w:sz w:val="24"/>
      <w:szCs w:val="24"/>
      <w:lang w:val="pt-PT"/>
      <w14:ligatures w14:val="none"/>
    </w:rPr>
  </w:style>
  <w:style w:type="paragraph" w:customStyle="1" w:styleId="WW-Textoembloco">
    <w:name w:val="WW-Texto em bloco"/>
    <w:basedOn w:val="Normal"/>
    <w:pPr>
      <w:ind w:left="1701" w:right="3170"/>
      <w:jc w:val="both"/>
    </w:pPr>
    <w:rPr>
      <w:sz w:val="24"/>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eastAsia="Times New Roman" w:hAnsi="Tahoma" w:cs="Tahoma"/>
      <w:kern w:val="0"/>
      <w:sz w:val="16"/>
      <w:szCs w:val="16"/>
      <w:lang w:eastAsia="ar-SA"/>
      <w14:ligatures w14:val="none"/>
    </w:rPr>
  </w:style>
  <w:style w:type="paragraph" w:customStyle="1" w:styleId="Contedodatabela">
    <w:name w:val="Conteúdo da tabela"/>
    <w:basedOn w:val="Normal"/>
    <w:pPr>
      <w:widowControl w:val="0"/>
      <w:suppressLineNumbers/>
    </w:pPr>
    <w:rPr>
      <w:rFonts w:eastAsia="Lucida Sans Unicode"/>
      <w:sz w:val="24"/>
    </w:rPr>
  </w:style>
  <w:style w:type="character" w:customStyle="1" w:styleId="Ttulo5Char">
    <w:name w:val="Título 5 Char"/>
    <w:basedOn w:val="Fontepargpadro"/>
    <w:link w:val="Ttulo5"/>
    <w:rPr>
      <w:rFonts w:ascii="Arial" w:eastAsia="Lucida Sans Unicode" w:hAnsi="Arial" w:cs="StarSymbol"/>
      <w:b/>
      <w:noProof/>
      <w:kern w:val="0"/>
      <w:sz w:val="23"/>
      <w:szCs w:val="24"/>
      <w:lang w:eastAsia="pt-BR"/>
      <w14:ligatures w14:val="none"/>
    </w:rPr>
  </w:style>
  <w:style w:type="character" w:customStyle="1" w:styleId="WW-Fontepargpadro">
    <w:name w:val="WW-Fonte parág. padrão"/>
  </w:style>
  <w:style w:type="paragraph" w:styleId="Recuodecorpodetexto">
    <w:name w:val="Body Text Indent"/>
    <w:basedOn w:val="Normal"/>
    <w:link w:val="RecuodecorpodetextoChar"/>
    <w:uiPriority w:val="99"/>
    <w:semiHidden/>
    <w:unhideWhenUsed/>
    <w:pPr>
      <w:spacing w:after="120"/>
      <w:ind w:left="283"/>
    </w:pPr>
  </w:style>
  <w:style w:type="character" w:customStyle="1" w:styleId="RecuodecorpodetextoChar">
    <w:name w:val="Recuo de corpo de texto Char"/>
    <w:basedOn w:val="Fontepargpadro"/>
    <w:link w:val="Recuodecorpodetexto"/>
    <w:uiPriority w:val="99"/>
    <w:semiHidden/>
    <w:rPr>
      <w:rFonts w:ascii="Times New Roman" w:eastAsia="Times New Roman" w:hAnsi="Times New Roman" w:cs="Times New Roman"/>
      <w:kern w:val="0"/>
      <w:sz w:val="20"/>
      <w:szCs w:val="20"/>
      <w:lang w:eastAsia="ar-SA"/>
      <w14:ligatures w14:val="none"/>
    </w:rPr>
  </w:style>
  <w:style w:type="character" w:customStyle="1" w:styleId="normaltextrun">
    <w:name w:val="normaltextrun"/>
    <w:basedOn w:val="Fontepargpadro"/>
  </w:style>
  <w:style w:type="character" w:customStyle="1" w:styleId="eop">
    <w:name w:val="eop"/>
    <w:basedOn w:val="Fontepargpadro"/>
  </w:style>
  <w:style w:type="paragraph" w:customStyle="1" w:styleId="Nvel01-SemNumerao">
    <w:name w:val="Nível 01-Sem Numeração"/>
    <w:basedOn w:val="Normal"/>
    <w:link w:val="Nvel01-SemNumeraoChar"/>
    <w:autoRedefine/>
    <w:uiPriority w:val="1"/>
    <w:qFormat/>
    <w:pPr>
      <w:keepNext/>
      <w:keepLines/>
      <w:suppressAutoHyphens w:val="0"/>
      <w:spacing w:before="240" w:after="120" w:line="276" w:lineRule="auto"/>
      <w:jc w:val="both"/>
      <w:outlineLvl w:val="1"/>
    </w:pPr>
    <w:rPr>
      <w:rFonts w:ascii="Arial" w:eastAsiaTheme="majorEastAsia" w:hAnsi="Arial" w:cs="Arial"/>
      <w:b/>
      <w:bCs/>
      <w:lang w:eastAsia="pt-BR"/>
    </w:rPr>
  </w:style>
  <w:style w:type="character" w:customStyle="1" w:styleId="Nvel01-SemNumeraoChar">
    <w:name w:val="Nível 01-Sem Numeração Char"/>
    <w:basedOn w:val="Fontepargpadro"/>
    <w:link w:val="Nvel01-SemNumerao"/>
    <w:uiPriority w:val="1"/>
    <w:rPr>
      <w:rFonts w:ascii="Arial" w:eastAsiaTheme="majorEastAsia" w:hAnsi="Arial" w:cs="Arial"/>
      <w:b/>
      <w:bCs/>
      <w:kern w:val="0"/>
      <w:sz w:val="20"/>
      <w:szCs w:val="20"/>
      <w:lang w:eastAsia="pt-BR"/>
      <w14:ligatures w14:val="none"/>
    </w:rPr>
  </w:style>
  <w:style w:type="character" w:customStyle="1" w:styleId="ng-star-inserted">
    <w:name w:val="ng-star-inserted"/>
    <w:basedOn w:val="Fontepargpadro"/>
  </w:style>
  <w:style w:type="paragraph" w:customStyle="1" w:styleId="Prembulo">
    <w:name w:val="Preâmbulo"/>
    <w:basedOn w:val="Normal"/>
    <w:link w:val="PrembuloChar"/>
    <w:qFormat/>
    <w:pPr>
      <w:suppressAutoHyphens w:val="0"/>
      <w:spacing w:before="480" w:after="120" w:line="360" w:lineRule="auto"/>
      <w:ind w:left="4253" w:right="-17"/>
      <w:jc w:val="both"/>
    </w:pPr>
    <w:rPr>
      <w:rFonts w:ascii="Arial" w:eastAsia="Arial" w:hAnsi="Arial" w:cs="Arial"/>
      <w:bCs/>
      <w:lang w:eastAsia="pt-BR"/>
    </w:rPr>
  </w:style>
  <w:style w:type="character" w:customStyle="1" w:styleId="PrembuloChar">
    <w:name w:val="Preâmbulo Char"/>
    <w:basedOn w:val="Fontepargpadro"/>
    <w:link w:val="Prembulo"/>
    <w:rPr>
      <w:rFonts w:ascii="Arial" w:eastAsia="Arial" w:hAnsi="Arial" w:cs="Arial"/>
      <w:bCs/>
      <w:kern w:val="0"/>
      <w:sz w:val="20"/>
      <w:szCs w:val="20"/>
      <w:lang w:eastAsia="pt-BR"/>
      <w14:ligatures w14:val="none"/>
    </w:rPr>
  </w:style>
  <w:style w:type="paragraph" w:customStyle="1" w:styleId="WW-Corpodetexto3">
    <w:name w:val="WW-Corpo de texto 3"/>
    <w:basedOn w:val="Normal"/>
    <w:pPr>
      <w:spacing w:after="120"/>
    </w:pPr>
    <w:rPr>
      <w:sz w:val="16"/>
      <w:szCs w:val="16"/>
    </w:rPr>
  </w:style>
  <w:style w:type="paragraph" w:customStyle="1" w:styleId="Standard">
    <w:name w:val="Standard"/>
    <w:pPr>
      <w:suppressAutoHyphens/>
      <w:autoSpaceDN w:val="0"/>
      <w:spacing w:after="0" w:line="240" w:lineRule="auto"/>
    </w:pPr>
    <w:rPr>
      <w:rFonts w:ascii="Times New Roman" w:eastAsia="Times New Roman" w:hAnsi="Times New Roman" w:cs="Times New Roman"/>
      <w:kern w:val="3"/>
      <w:sz w:val="24"/>
      <w:szCs w:val="20"/>
      <w:lang w:eastAsia="zh-CN"/>
      <w14:ligatures w14:val="none"/>
    </w:rPr>
  </w:style>
  <w:style w:type="paragraph" w:customStyle="1" w:styleId="TableContents">
    <w:name w:val="Table Contents"/>
    <w:basedOn w:val="Standard"/>
    <w:pPr>
      <w:widowControl w:val="0"/>
      <w:suppressLineNumbers/>
      <w:textAlignment w:val="baseline"/>
    </w:pPr>
    <w:rPr>
      <w:rFonts w:eastAsia="SimSun" w:cs="Mangal"/>
      <w:szCs w:val="24"/>
      <w:lang w:bidi="hi-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781">
      <w:bodyDiv w:val="1"/>
      <w:marLeft w:val="0"/>
      <w:marRight w:val="0"/>
      <w:marTop w:val="0"/>
      <w:marBottom w:val="0"/>
      <w:divBdr>
        <w:top w:val="none" w:sz="0" w:space="0" w:color="auto"/>
        <w:left w:val="none" w:sz="0" w:space="0" w:color="auto"/>
        <w:bottom w:val="none" w:sz="0" w:space="0" w:color="auto"/>
        <w:right w:val="none" w:sz="0" w:space="0" w:color="auto"/>
      </w:divBdr>
    </w:div>
    <w:div w:id="57441410">
      <w:bodyDiv w:val="1"/>
      <w:marLeft w:val="0"/>
      <w:marRight w:val="0"/>
      <w:marTop w:val="0"/>
      <w:marBottom w:val="0"/>
      <w:divBdr>
        <w:top w:val="none" w:sz="0" w:space="0" w:color="auto"/>
        <w:left w:val="none" w:sz="0" w:space="0" w:color="auto"/>
        <w:bottom w:val="none" w:sz="0" w:space="0" w:color="auto"/>
        <w:right w:val="none" w:sz="0" w:space="0" w:color="auto"/>
      </w:divBdr>
    </w:div>
    <w:div w:id="63602328">
      <w:bodyDiv w:val="1"/>
      <w:marLeft w:val="0"/>
      <w:marRight w:val="0"/>
      <w:marTop w:val="0"/>
      <w:marBottom w:val="0"/>
      <w:divBdr>
        <w:top w:val="none" w:sz="0" w:space="0" w:color="auto"/>
        <w:left w:val="none" w:sz="0" w:space="0" w:color="auto"/>
        <w:bottom w:val="none" w:sz="0" w:space="0" w:color="auto"/>
        <w:right w:val="none" w:sz="0" w:space="0" w:color="auto"/>
      </w:divBdr>
    </w:div>
    <w:div w:id="172187333">
      <w:bodyDiv w:val="1"/>
      <w:marLeft w:val="0"/>
      <w:marRight w:val="0"/>
      <w:marTop w:val="0"/>
      <w:marBottom w:val="0"/>
      <w:divBdr>
        <w:top w:val="none" w:sz="0" w:space="0" w:color="auto"/>
        <w:left w:val="none" w:sz="0" w:space="0" w:color="auto"/>
        <w:bottom w:val="none" w:sz="0" w:space="0" w:color="auto"/>
        <w:right w:val="none" w:sz="0" w:space="0" w:color="auto"/>
      </w:divBdr>
    </w:div>
    <w:div w:id="181668481">
      <w:bodyDiv w:val="1"/>
      <w:marLeft w:val="0"/>
      <w:marRight w:val="0"/>
      <w:marTop w:val="0"/>
      <w:marBottom w:val="0"/>
      <w:divBdr>
        <w:top w:val="none" w:sz="0" w:space="0" w:color="auto"/>
        <w:left w:val="none" w:sz="0" w:space="0" w:color="auto"/>
        <w:bottom w:val="none" w:sz="0" w:space="0" w:color="auto"/>
        <w:right w:val="none" w:sz="0" w:space="0" w:color="auto"/>
      </w:divBdr>
    </w:div>
    <w:div w:id="248656714">
      <w:bodyDiv w:val="1"/>
      <w:marLeft w:val="0"/>
      <w:marRight w:val="0"/>
      <w:marTop w:val="0"/>
      <w:marBottom w:val="0"/>
      <w:divBdr>
        <w:top w:val="none" w:sz="0" w:space="0" w:color="auto"/>
        <w:left w:val="none" w:sz="0" w:space="0" w:color="auto"/>
        <w:bottom w:val="none" w:sz="0" w:space="0" w:color="auto"/>
        <w:right w:val="none" w:sz="0" w:space="0" w:color="auto"/>
      </w:divBdr>
    </w:div>
    <w:div w:id="257101466">
      <w:bodyDiv w:val="1"/>
      <w:marLeft w:val="0"/>
      <w:marRight w:val="0"/>
      <w:marTop w:val="0"/>
      <w:marBottom w:val="0"/>
      <w:divBdr>
        <w:top w:val="none" w:sz="0" w:space="0" w:color="auto"/>
        <w:left w:val="none" w:sz="0" w:space="0" w:color="auto"/>
        <w:bottom w:val="none" w:sz="0" w:space="0" w:color="auto"/>
        <w:right w:val="none" w:sz="0" w:space="0" w:color="auto"/>
      </w:divBdr>
    </w:div>
    <w:div w:id="267276929">
      <w:bodyDiv w:val="1"/>
      <w:marLeft w:val="0"/>
      <w:marRight w:val="0"/>
      <w:marTop w:val="0"/>
      <w:marBottom w:val="0"/>
      <w:divBdr>
        <w:top w:val="none" w:sz="0" w:space="0" w:color="auto"/>
        <w:left w:val="none" w:sz="0" w:space="0" w:color="auto"/>
        <w:bottom w:val="none" w:sz="0" w:space="0" w:color="auto"/>
        <w:right w:val="none" w:sz="0" w:space="0" w:color="auto"/>
      </w:divBdr>
    </w:div>
    <w:div w:id="319234002">
      <w:bodyDiv w:val="1"/>
      <w:marLeft w:val="0"/>
      <w:marRight w:val="0"/>
      <w:marTop w:val="0"/>
      <w:marBottom w:val="0"/>
      <w:divBdr>
        <w:top w:val="none" w:sz="0" w:space="0" w:color="auto"/>
        <w:left w:val="none" w:sz="0" w:space="0" w:color="auto"/>
        <w:bottom w:val="none" w:sz="0" w:space="0" w:color="auto"/>
        <w:right w:val="none" w:sz="0" w:space="0" w:color="auto"/>
      </w:divBdr>
    </w:div>
    <w:div w:id="323778399">
      <w:bodyDiv w:val="1"/>
      <w:marLeft w:val="0"/>
      <w:marRight w:val="0"/>
      <w:marTop w:val="0"/>
      <w:marBottom w:val="0"/>
      <w:divBdr>
        <w:top w:val="none" w:sz="0" w:space="0" w:color="auto"/>
        <w:left w:val="none" w:sz="0" w:space="0" w:color="auto"/>
        <w:bottom w:val="none" w:sz="0" w:space="0" w:color="auto"/>
        <w:right w:val="none" w:sz="0" w:space="0" w:color="auto"/>
      </w:divBdr>
    </w:div>
    <w:div w:id="401414581">
      <w:bodyDiv w:val="1"/>
      <w:marLeft w:val="0"/>
      <w:marRight w:val="0"/>
      <w:marTop w:val="0"/>
      <w:marBottom w:val="0"/>
      <w:divBdr>
        <w:top w:val="none" w:sz="0" w:space="0" w:color="auto"/>
        <w:left w:val="none" w:sz="0" w:space="0" w:color="auto"/>
        <w:bottom w:val="none" w:sz="0" w:space="0" w:color="auto"/>
        <w:right w:val="none" w:sz="0" w:space="0" w:color="auto"/>
      </w:divBdr>
    </w:div>
    <w:div w:id="504713544">
      <w:bodyDiv w:val="1"/>
      <w:marLeft w:val="0"/>
      <w:marRight w:val="0"/>
      <w:marTop w:val="0"/>
      <w:marBottom w:val="0"/>
      <w:divBdr>
        <w:top w:val="none" w:sz="0" w:space="0" w:color="auto"/>
        <w:left w:val="none" w:sz="0" w:space="0" w:color="auto"/>
        <w:bottom w:val="none" w:sz="0" w:space="0" w:color="auto"/>
        <w:right w:val="none" w:sz="0" w:space="0" w:color="auto"/>
      </w:divBdr>
    </w:div>
    <w:div w:id="506091341">
      <w:bodyDiv w:val="1"/>
      <w:marLeft w:val="0"/>
      <w:marRight w:val="0"/>
      <w:marTop w:val="0"/>
      <w:marBottom w:val="0"/>
      <w:divBdr>
        <w:top w:val="none" w:sz="0" w:space="0" w:color="auto"/>
        <w:left w:val="none" w:sz="0" w:space="0" w:color="auto"/>
        <w:bottom w:val="none" w:sz="0" w:space="0" w:color="auto"/>
        <w:right w:val="none" w:sz="0" w:space="0" w:color="auto"/>
      </w:divBdr>
    </w:div>
    <w:div w:id="526990364">
      <w:bodyDiv w:val="1"/>
      <w:marLeft w:val="0"/>
      <w:marRight w:val="0"/>
      <w:marTop w:val="0"/>
      <w:marBottom w:val="0"/>
      <w:divBdr>
        <w:top w:val="none" w:sz="0" w:space="0" w:color="auto"/>
        <w:left w:val="none" w:sz="0" w:space="0" w:color="auto"/>
        <w:bottom w:val="none" w:sz="0" w:space="0" w:color="auto"/>
        <w:right w:val="none" w:sz="0" w:space="0" w:color="auto"/>
      </w:divBdr>
    </w:div>
    <w:div w:id="611133491">
      <w:bodyDiv w:val="1"/>
      <w:marLeft w:val="0"/>
      <w:marRight w:val="0"/>
      <w:marTop w:val="0"/>
      <w:marBottom w:val="0"/>
      <w:divBdr>
        <w:top w:val="none" w:sz="0" w:space="0" w:color="auto"/>
        <w:left w:val="none" w:sz="0" w:space="0" w:color="auto"/>
        <w:bottom w:val="none" w:sz="0" w:space="0" w:color="auto"/>
        <w:right w:val="none" w:sz="0" w:space="0" w:color="auto"/>
      </w:divBdr>
    </w:div>
    <w:div w:id="632641040">
      <w:bodyDiv w:val="1"/>
      <w:marLeft w:val="0"/>
      <w:marRight w:val="0"/>
      <w:marTop w:val="0"/>
      <w:marBottom w:val="0"/>
      <w:divBdr>
        <w:top w:val="none" w:sz="0" w:space="0" w:color="auto"/>
        <w:left w:val="none" w:sz="0" w:space="0" w:color="auto"/>
        <w:bottom w:val="none" w:sz="0" w:space="0" w:color="auto"/>
        <w:right w:val="none" w:sz="0" w:space="0" w:color="auto"/>
      </w:divBdr>
    </w:div>
    <w:div w:id="703285716">
      <w:bodyDiv w:val="1"/>
      <w:marLeft w:val="0"/>
      <w:marRight w:val="0"/>
      <w:marTop w:val="0"/>
      <w:marBottom w:val="0"/>
      <w:divBdr>
        <w:top w:val="none" w:sz="0" w:space="0" w:color="auto"/>
        <w:left w:val="none" w:sz="0" w:space="0" w:color="auto"/>
        <w:bottom w:val="none" w:sz="0" w:space="0" w:color="auto"/>
        <w:right w:val="none" w:sz="0" w:space="0" w:color="auto"/>
      </w:divBdr>
    </w:div>
    <w:div w:id="783234730">
      <w:bodyDiv w:val="1"/>
      <w:marLeft w:val="0"/>
      <w:marRight w:val="0"/>
      <w:marTop w:val="0"/>
      <w:marBottom w:val="0"/>
      <w:divBdr>
        <w:top w:val="none" w:sz="0" w:space="0" w:color="auto"/>
        <w:left w:val="none" w:sz="0" w:space="0" w:color="auto"/>
        <w:bottom w:val="none" w:sz="0" w:space="0" w:color="auto"/>
        <w:right w:val="none" w:sz="0" w:space="0" w:color="auto"/>
      </w:divBdr>
    </w:div>
    <w:div w:id="818964917">
      <w:bodyDiv w:val="1"/>
      <w:marLeft w:val="0"/>
      <w:marRight w:val="0"/>
      <w:marTop w:val="0"/>
      <w:marBottom w:val="0"/>
      <w:divBdr>
        <w:top w:val="none" w:sz="0" w:space="0" w:color="auto"/>
        <w:left w:val="none" w:sz="0" w:space="0" w:color="auto"/>
        <w:bottom w:val="none" w:sz="0" w:space="0" w:color="auto"/>
        <w:right w:val="none" w:sz="0" w:space="0" w:color="auto"/>
      </w:divBdr>
    </w:div>
    <w:div w:id="858547439">
      <w:bodyDiv w:val="1"/>
      <w:marLeft w:val="0"/>
      <w:marRight w:val="0"/>
      <w:marTop w:val="0"/>
      <w:marBottom w:val="0"/>
      <w:divBdr>
        <w:top w:val="none" w:sz="0" w:space="0" w:color="auto"/>
        <w:left w:val="none" w:sz="0" w:space="0" w:color="auto"/>
        <w:bottom w:val="none" w:sz="0" w:space="0" w:color="auto"/>
        <w:right w:val="none" w:sz="0" w:space="0" w:color="auto"/>
      </w:divBdr>
    </w:div>
    <w:div w:id="953898474">
      <w:bodyDiv w:val="1"/>
      <w:marLeft w:val="0"/>
      <w:marRight w:val="0"/>
      <w:marTop w:val="0"/>
      <w:marBottom w:val="0"/>
      <w:divBdr>
        <w:top w:val="none" w:sz="0" w:space="0" w:color="auto"/>
        <w:left w:val="none" w:sz="0" w:space="0" w:color="auto"/>
        <w:bottom w:val="none" w:sz="0" w:space="0" w:color="auto"/>
        <w:right w:val="none" w:sz="0" w:space="0" w:color="auto"/>
      </w:divBdr>
    </w:div>
    <w:div w:id="1056078410">
      <w:bodyDiv w:val="1"/>
      <w:marLeft w:val="0"/>
      <w:marRight w:val="0"/>
      <w:marTop w:val="0"/>
      <w:marBottom w:val="0"/>
      <w:divBdr>
        <w:top w:val="none" w:sz="0" w:space="0" w:color="auto"/>
        <w:left w:val="none" w:sz="0" w:space="0" w:color="auto"/>
        <w:bottom w:val="none" w:sz="0" w:space="0" w:color="auto"/>
        <w:right w:val="none" w:sz="0" w:space="0" w:color="auto"/>
      </w:divBdr>
    </w:div>
    <w:div w:id="1065685436">
      <w:bodyDiv w:val="1"/>
      <w:marLeft w:val="0"/>
      <w:marRight w:val="0"/>
      <w:marTop w:val="0"/>
      <w:marBottom w:val="0"/>
      <w:divBdr>
        <w:top w:val="none" w:sz="0" w:space="0" w:color="auto"/>
        <w:left w:val="none" w:sz="0" w:space="0" w:color="auto"/>
        <w:bottom w:val="none" w:sz="0" w:space="0" w:color="auto"/>
        <w:right w:val="none" w:sz="0" w:space="0" w:color="auto"/>
      </w:divBdr>
    </w:div>
    <w:div w:id="1080978729">
      <w:bodyDiv w:val="1"/>
      <w:marLeft w:val="0"/>
      <w:marRight w:val="0"/>
      <w:marTop w:val="0"/>
      <w:marBottom w:val="0"/>
      <w:divBdr>
        <w:top w:val="none" w:sz="0" w:space="0" w:color="auto"/>
        <w:left w:val="none" w:sz="0" w:space="0" w:color="auto"/>
        <w:bottom w:val="none" w:sz="0" w:space="0" w:color="auto"/>
        <w:right w:val="none" w:sz="0" w:space="0" w:color="auto"/>
      </w:divBdr>
    </w:div>
    <w:div w:id="1298606370">
      <w:bodyDiv w:val="1"/>
      <w:marLeft w:val="0"/>
      <w:marRight w:val="0"/>
      <w:marTop w:val="0"/>
      <w:marBottom w:val="0"/>
      <w:divBdr>
        <w:top w:val="none" w:sz="0" w:space="0" w:color="auto"/>
        <w:left w:val="none" w:sz="0" w:space="0" w:color="auto"/>
        <w:bottom w:val="none" w:sz="0" w:space="0" w:color="auto"/>
        <w:right w:val="none" w:sz="0" w:space="0" w:color="auto"/>
      </w:divBdr>
    </w:div>
    <w:div w:id="1383675291">
      <w:bodyDiv w:val="1"/>
      <w:marLeft w:val="0"/>
      <w:marRight w:val="0"/>
      <w:marTop w:val="0"/>
      <w:marBottom w:val="0"/>
      <w:divBdr>
        <w:top w:val="none" w:sz="0" w:space="0" w:color="auto"/>
        <w:left w:val="none" w:sz="0" w:space="0" w:color="auto"/>
        <w:bottom w:val="none" w:sz="0" w:space="0" w:color="auto"/>
        <w:right w:val="none" w:sz="0" w:space="0" w:color="auto"/>
      </w:divBdr>
    </w:div>
    <w:div w:id="1392459127">
      <w:bodyDiv w:val="1"/>
      <w:marLeft w:val="0"/>
      <w:marRight w:val="0"/>
      <w:marTop w:val="0"/>
      <w:marBottom w:val="0"/>
      <w:divBdr>
        <w:top w:val="none" w:sz="0" w:space="0" w:color="auto"/>
        <w:left w:val="none" w:sz="0" w:space="0" w:color="auto"/>
        <w:bottom w:val="none" w:sz="0" w:space="0" w:color="auto"/>
        <w:right w:val="none" w:sz="0" w:space="0" w:color="auto"/>
      </w:divBdr>
    </w:div>
    <w:div w:id="1398819557">
      <w:bodyDiv w:val="1"/>
      <w:marLeft w:val="0"/>
      <w:marRight w:val="0"/>
      <w:marTop w:val="0"/>
      <w:marBottom w:val="0"/>
      <w:divBdr>
        <w:top w:val="none" w:sz="0" w:space="0" w:color="auto"/>
        <w:left w:val="none" w:sz="0" w:space="0" w:color="auto"/>
        <w:bottom w:val="none" w:sz="0" w:space="0" w:color="auto"/>
        <w:right w:val="none" w:sz="0" w:space="0" w:color="auto"/>
      </w:divBdr>
    </w:div>
    <w:div w:id="1428112453">
      <w:bodyDiv w:val="1"/>
      <w:marLeft w:val="0"/>
      <w:marRight w:val="0"/>
      <w:marTop w:val="0"/>
      <w:marBottom w:val="0"/>
      <w:divBdr>
        <w:top w:val="none" w:sz="0" w:space="0" w:color="auto"/>
        <w:left w:val="none" w:sz="0" w:space="0" w:color="auto"/>
        <w:bottom w:val="none" w:sz="0" w:space="0" w:color="auto"/>
        <w:right w:val="none" w:sz="0" w:space="0" w:color="auto"/>
      </w:divBdr>
    </w:div>
    <w:div w:id="1448768518">
      <w:bodyDiv w:val="1"/>
      <w:marLeft w:val="0"/>
      <w:marRight w:val="0"/>
      <w:marTop w:val="0"/>
      <w:marBottom w:val="0"/>
      <w:divBdr>
        <w:top w:val="none" w:sz="0" w:space="0" w:color="auto"/>
        <w:left w:val="none" w:sz="0" w:space="0" w:color="auto"/>
        <w:bottom w:val="none" w:sz="0" w:space="0" w:color="auto"/>
        <w:right w:val="none" w:sz="0" w:space="0" w:color="auto"/>
      </w:divBdr>
    </w:div>
    <w:div w:id="1540849335">
      <w:bodyDiv w:val="1"/>
      <w:marLeft w:val="0"/>
      <w:marRight w:val="0"/>
      <w:marTop w:val="0"/>
      <w:marBottom w:val="0"/>
      <w:divBdr>
        <w:top w:val="none" w:sz="0" w:space="0" w:color="auto"/>
        <w:left w:val="none" w:sz="0" w:space="0" w:color="auto"/>
        <w:bottom w:val="none" w:sz="0" w:space="0" w:color="auto"/>
        <w:right w:val="none" w:sz="0" w:space="0" w:color="auto"/>
      </w:divBdr>
    </w:div>
    <w:div w:id="1570573038">
      <w:bodyDiv w:val="1"/>
      <w:marLeft w:val="0"/>
      <w:marRight w:val="0"/>
      <w:marTop w:val="0"/>
      <w:marBottom w:val="0"/>
      <w:divBdr>
        <w:top w:val="none" w:sz="0" w:space="0" w:color="auto"/>
        <w:left w:val="none" w:sz="0" w:space="0" w:color="auto"/>
        <w:bottom w:val="none" w:sz="0" w:space="0" w:color="auto"/>
        <w:right w:val="none" w:sz="0" w:space="0" w:color="auto"/>
      </w:divBdr>
    </w:div>
    <w:div w:id="1637300897">
      <w:bodyDiv w:val="1"/>
      <w:marLeft w:val="0"/>
      <w:marRight w:val="0"/>
      <w:marTop w:val="0"/>
      <w:marBottom w:val="0"/>
      <w:divBdr>
        <w:top w:val="none" w:sz="0" w:space="0" w:color="auto"/>
        <w:left w:val="none" w:sz="0" w:space="0" w:color="auto"/>
        <w:bottom w:val="none" w:sz="0" w:space="0" w:color="auto"/>
        <w:right w:val="none" w:sz="0" w:space="0" w:color="auto"/>
      </w:divBdr>
    </w:div>
    <w:div w:id="1653217122">
      <w:bodyDiv w:val="1"/>
      <w:marLeft w:val="0"/>
      <w:marRight w:val="0"/>
      <w:marTop w:val="0"/>
      <w:marBottom w:val="0"/>
      <w:divBdr>
        <w:top w:val="none" w:sz="0" w:space="0" w:color="auto"/>
        <w:left w:val="none" w:sz="0" w:space="0" w:color="auto"/>
        <w:bottom w:val="none" w:sz="0" w:space="0" w:color="auto"/>
        <w:right w:val="none" w:sz="0" w:space="0" w:color="auto"/>
      </w:divBdr>
    </w:div>
    <w:div w:id="1719166377">
      <w:bodyDiv w:val="1"/>
      <w:marLeft w:val="0"/>
      <w:marRight w:val="0"/>
      <w:marTop w:val="0"/>
      <w:marBottom w:val="0"/>
      <w:divBdr>
        <w:top w:val="none" w:sz="0" w:space="0" w:color="auto"/>
        <w:left w:val="none" w:sz="0" w:space="0" w:color="auto"/>
        <w:bottom w:val="none" w:sz="0" w:space="0" w:color="auto"/>
        <w:right w:val="none" w:sz="0" w:space="0" w:color="auto"/>
      </w:divBdr>
    </w:div>
    <w:div w:id="1757625447">
      <w:bodyDiv w:val="1"/>
      <w:marLeft w:val="0"/>
      <w:marRight w:val="0"/>
      <w:marTop w:val="0"/>
      <w:marBottom w:val="0"/>
      <w:divBdr>
        <w:top w:val="none" w:sz="0" w:space="0" w:color="auto"/>
        <w:left w:val="none" w:sz="0" w:space="0" w:color="auto"/>
        <w:bottom w:val="none" w:sz="0" w:space="0" w:color="auto"/>
        <w:right w:val="none" w:sz="0" w:space="0" w:color="auto"/>
      </w:divBdr>
    </w:div>
    <w:div w:id="1798644156">
      <w:bodyDiv w:val="1"/>
      <w:marLeft w:val="0"/>
      <w:marRight w:val="0"/>
      <w:marTop w:val="0"/>
      <w:marBottom w:val="0"/>
      <w:divBdr>
        <w:top w:val="none" w:sz="0" w:space="0" w:color="auto"/>
        <w:left w:val="none" w:sz="0" w:space="0" w:color="auto"/>
        <w:bottom w:val="none" w:sz="0" w:space="0" w:color="auto"/>
        <w:right w:val="none" w:sz="0" w:space="0" w:color="auto"/>
      </w:divBdr>
    </w:div>
    <w:div w:id="1831824238">
      <w:bodyDiv w:val="1"/>
      <w:marLeft w:val="0"/>
      <w:marRight w:val="0"/>
      <w:marTop w:val="0"/>
      <w:marBottom w:val="0"/>
      <w:divBdr>
        <w:top w:val="none" w:sz="0" w:space="0" w:color="auto"/>
        <w:left w:val="none" w:sz="0" w:space="0" w:color="auto"/>
        <w:bottom w:val="none" w:sz="0" w:space="0" w:color="auto"/>
        <w:right w:val="none" w:sz="0" w:space="0" w:color="auto"/>
      </w:divBdr>
    </w:div>
    <w:div w:id="1869634105">
      <w:bodyDiv w:val="1"/>
      <w:marLeft w:val="0"/>
      <w:marRight w:val="0"/>
      <w:marTop w:val="0"/>
      <w:marBottom w:val="0"/>
      <w:divBdr>
        <w:top w:val="none" w:sz="0" w:space="0" w:color="auto"/>
        <w:left w:val="none" w:sz="0" w:space="0" w:color="auto"/>
        <w:bottom w:val="none" w:sz="0" w:space="0" w:color="auto"/>
        <w:right w:val="none" w:sz="0" w:space="0" w:color="auto"/>
      </w:divBdr>
    </w:div>
    <w:div w:id="1899853428">
      <w:bodyDiv w:val="1"/>
      <w:marLeft w:val="0"/>
      <w:marRight w:val="0"/>
      <w:marTop w:val="0"/>
      <w:marBottom w:val="0"/>
      <w:divBdr>
        <w:top w:val="none" w:sz="0" w:space="0" w:color="auto"/>
        <w:left w:val="none" w:sz="0" w:space="0" w:color="auto"/>
        <w:bottom w:val="none" w:sz="0" w:space="0" w:color="auto"/>
        <w:right w:val="none" w:sz="0" w:space="0" w:color="auto"/>
      </w:divBdr>
    </w:div>
    <w:div w:id="1995911971">
      <w:bodyDiv w:val="1"/>
      <w:marLeft w:val="0"/>
      <w:marRight w:val="0"/>
      <w:marTop w:val="0"/>
      <w:marBottom w:val="0"/>
      <w:divBdr>
        <w:top w:val="none" w:sz="0" w:space="0" w:color="auto"/>
        <w:left w:val="none" w:sz="0" w:space="0" w:color="auto"/>
        <w:bottom w:val="none" w:sz="0" w:space="0" w:color="auto"/>
        <w:right w:val="none" w:sz="0" w:space="0" w:color="auto"/>
      </w:divBdr>
    </w:div>
    <w:div w:id="2115781972">
      <w:bodyDiv w:val="1"/>
      <w:marLeft w:val="0"/>
      <w:marRight w:val="0"/>
      <w:marTop w:val="0"/>
      <w:marBottom w:val="0"/>
      <w:divBdr>
        <w:top w:val="none" w:sz="0" w:space="0" w:color="auto"/>
        <w:left w:val="none" w:sz="0" w:space="0" w:color="auto"/>
        <w:bottom w:val="none" w:sz="0" w:space="0" w:color="auto"/>
        <w:right w:val="none" w:sz="0" w:space="0" w:color="auto"/>
      </w:divBdr>
    </w:div>
    <w:div w:id="2121027606">
      <w:bodyDiv w:val="1"/>
      <w:marLeft w:val="0"/>
      <w:marRight w:val="0"/>
      <w:marTop w:val="0"/>
      <w:marBottom w:val="0"/>
      <w:divBdr>
        <w:top w:val="none" w:sz="0" w:space="0" w:color="auto"/>
        <w:left w:val="none" w:sz="0" w:space="0" w:color="auto"/>
        <w:bottom w:val="none" w:sz="0" w:space="0" w:color="auto"/>
        <w:right w:val="none" w:sz="0" w:space="0" w:color="auto"/>
      </w:divBdr>
    </w:div>
    <w:div w:id="212488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miraima.ce.gov.br" TargetMode="External"/><Relationship Id="rId58" Type="http://schemas.openxmlformats.org/officeDocument/2006/relationships/header" Target="header2.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gov.br/empresas-e-negocios/pt-br/empreendedor"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3.xm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26-de-13-de-abril-de-2022"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decreto-lei/del5452.htm" TargetMode="External"/><Relationship Id="rId10" Type="http://schemas.openxmlformats.org/officeDocument/2006/relationships/footer" Target="footer2.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4.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2.jpeg"/><Relationship Id="rId4" Type="http://schemas.openxmlformats.org/officeDocument/2006/relationships/image" Target="media/image3.png"/></Relationships>
</file>

<file path=word/_rels/footer4.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2.jpe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EF8E-BDCD-4890-9D25-F48B62DF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19571</Words>
  <Characters>105689</Characters>
  <Application>Microsoft Office Word</Application>
  <DocSecurity>0</DocSecurity>
  <Lines>880</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Lairlo Fontenele</dc:creator>
  <cp:keywords/>
  <dc:description/>
  <cp:lastModifiedBy>ADMIN</cp:lastModifiedBy>
  <cp:revision>3</cp:revision>
  <cp:lastPrinted>2024-02-21T13:43:00Z</cp:lastPrinted>
  <dcterms:created xsi:type="dcterms:W3CDTF">2025-01-29T15:34:00Z</dcterms:created>
  <dcterms:modified xsi:type="dcterms:W3CDTF">2025-01-29T15:37:00Z</dcterms:modified>
</cp:coreProperties>
</file>